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3693" w:rsidRDefault="00E73693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PROGRAMA NACIONAL DE BECAS PARA ESTUDIOS SUPERIORES</w:t>
      </w:r>
    </w:p>
    <w:p w:rsidR="006E0A3D" w:rsidRPr="00FD1B1D" w:rsidRDefault="00843371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PRONABES-NAYARIT</w:t>
      </w:r>
    </w:p>
    <w:p w:rsidR="009877A4" w:rsidRDefault="009877A4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NOTAS A LOS ESTADOS FINANCIEROS</w:t>
      </w:r>
    </w:p>
    <w:p w:rsidR="00E73693" w:rsidRPr="00FD1B1D" w:rsidRDefault="00E73693" w:rsidP="009877A4">
      <w:pPr>
        <w:spacing w:after="120" w:line="240" w:lineRule="auto"/>
        <w:jc w:val="center"/>
        <w:rPr>
          <w:rFonts w:ascii="Arial" w:hAnsi="Arial" w:cs="Arial"/>
          <w:b/>
          <w:sz w:val="18"/>
          <w:szCs w:val="18"/>
          <w:lang w:val="es-ES"/>
        </w:rPr>
      </w:pPr>
      <w:r>
        <w:rPr>
          <w:rFonts w:ascii="Arial" w:hAnsi="Arial" w:cs="Arial"/>
          <w:b/>
          <w:sz w:val="18"/>
          <w:szCs w:val="18"/>
          <w:lang w:val="es-ES"/>
        </w:rPr>
        <w:t>AL 31 DE DICIEMBRE DEL 2019</w:t>
      </w:r>
    </w:p>
    <w:p w:rsidR="006E0A3D" w:rsidRPr="00FD1B1D" w:rsidRDefault="006E0A3D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E0A3D" w:rsidRPr="00FD1B1D" w:rsidRDefault="006E0A3D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I) NOTAS AL ESTADO DE SITUACIÓN FINANCIERA</w:t>
      </w:r>
    </w:p>
    <w:p w:rsidR="00AA03F6" w:rsidRPr="00FD1B1D" w:rsidRDefault="00D9649C" w:rsidP="009877A4">
      <w:pPr>
        <w:spacing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 NOTAS DE DESGLOSE</w:t>
      </w:r>
    </w:p>
    <w:p w:rsidR="006E0A3D" w:rsidRPr="00FD1B1D" w:rsidRDefault="006E0A3D" w:rsidP="000F347B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Activo</w:t>
      </w:r>
    </w:p>
    <w:p w:rsidR="00A635F9" w:rsidRPr="00FD1B1D" w:rsidRDefault="006E0A3D" w:rsidP="000F347B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Efectivo y </w:t>
      </w:r>
      <w:r w:rsidR="00E73693" w:rsidRPr="00FD1B1D">
        <w:rPr>
          <w:rFonts w:ascii="Arial" w:hAnsi="Arial" w:cs="Arial"/>
          <w:b/>
          <w:sz w:val="18"/>
          <w:szCs w:val="18"/>
          <w:lang w:val="es-ES"/>
        </w:rPr>
        <w:t>Equivalentes</w:t>
      </w:r>
      <w:r w:rsidR="00E73693">
        <w:rPr>
          <w:rFonts w:ascii="Arial" w:hAnsi="Arial" w:cs="Arial"/>
          <w:b/>
          <w:sz w:val="18"/>
          <w:szCs w:val="18"/>
          <w:lang w:val="es-ES"/>
        </w:rPr>
        <w:t>.</w:t>
      </w:r>
      <w:r w:rsidR="00E73693" w:rsidRPr="00FD1B1D">
        <w:rPr>
          <w:rFonts w:ascii="Arial" w:hAnsi="Arial" w:cs="Arial"/>
          <w:b/>
          <w:sz w:val="18"/>
          <w:szCs w:val="18"/>
          <w:lang w:val="es-ES"/>
        </w:rPr>
        <w:t xml:space="preserve"> -</w:t>
      </w:r>
      <w:r w:rsidR="001C0318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La cifra reflejada en el Estado de la Situación Financiera al 31 de diciembre de 201</w:t>
      </w:r>
      <w:r w:rsidR="005D0300">
        <w:rPr>
          <w:rFonts w:ascii="Arial" w:hAnsi="Arial" w:cs="Arial"/>
          <w:sz w:val="18"/>
          <w:szCs w:val="18"/>
          <w:lang w:val="es-ES"/>
        </w:rPr>
        <w:t>9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por la cantidad de </w:t>
      </w:r>
      <w:r w:rsidR="00DD14E6" w:rsidRPr="00FD1B1D">
        <w:rPr>
          <w:rFonts w:ascii="Arial" w:hAnsi="Arial" w:cs="Arial"/>
          <w:b/>
          <w:sz w:val="18"/>
          <w:szCs w:val="18"/>
          <w:lang w:val="es-ES"/>
        </w:rPr>
        <w:t>$</w:t>
      </w:r>
      <w:r w:rsidR="004256D5">
        <w:rPr>
          <w:rFonts w:ascii="Arial" w:hAnsi="Arial" w:cs="Arial"/>
          <w:b/>
          <w:sz w:val="18"/>
          <w:szCs w:val="18"/>
          <w:lang w:val="es-ES"/>
        </w:rPr>
        <w:t>1,</w:t>
      </w:r>
      <w:r w:rsidR="005D0300">
        <w:rPr>
          <w:rFonts w:ascii="Arial" w:hAnsi="Arial" w:cs="Arial"/>
          <w:b/>
          <w:sz w:val="18"/>
          <w:szCs w:val="18"/>
          <w:lang w:val="es-ES"/>
        </w:rPr>
        <w:t>690</w:t>
      </w:r>
      <w:r w:rsidR="004256D5">
        <w:rPr>
          <w:rFonts w:ascii="Arial" w:hAnsi="Arial" w:cs="Arial"/>
          <w:b/>
          <w:sz w:val="18"/>
          <w:szCs w:val="18"/>
          <w:lang w:val="es-ES"/>
        </w:rPr>
        <w:t>,</w:t>
      </w:r>
      <w:r w:rsidR="005D0300">
        <w:rPr>
          <w:rFonts w:ascii="Arial" w:hAnsi="Arial" w:cs="Arial"/>
          <w:b/>
          <w:sz w:val="18"/>
          <w:szCs w:val="18"/>
          <w:lang w:val="es-ES"/>
        </w:rPr>
        <w:t>360</w:t>
      </w:r>
      <w:r w:rsidR="000F347B" w:rsidRPr="00FD1B1D">
        <w:rPr>
          <w:rFonts w:ascii="Arial" w:hAnsi="Arial" w:cs="Arial"/>
          <w:b/>
          <w:sz w:val="18"/>
          <w:szCs w:val="18"/>
          <w:lang w:val="es-ES"/>
        </w:rPr>
        <w:t>.</w:t>
      </w:r>
      <w:r w:rsidR="005D0300">
        <w:rPr>
          <w:rFonts w:ascii="Arial" w:hAnsi="Arial" w:cs="Arial"/>
          <w:b/>
          <w:sz w:val="18"/>
          <w:szCs w:val="18"/>
          <w:lang w:val="es-ES"/>
        </w:rPr>
        <w:t>43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corresponde</w:t>
      </w:r>
      <w:r w:rsidR="005D0300">
        <w:rPr>
          <w:rFonts w:ascii="Arial" w:hAnsi="Arial" w:cs="Arial"/>
          <w:sz w:val="18"/>
          <w:szCs w:val="18"/>
          <w:lang w:val="es-ES"/>
        </w:rPr>
        <w:t xml:space="preserve">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$</w:t>
      </w:r>
      <w:r w:rsidR="005D0300">
        <w:rPr>
          <w:rFonts w:ascii="Arial" w:hAnsi="Arial" w:cs="Arial"/>
          <w:sz w:val="18"/>
          <w:szCs w:val="18"/>
          <w:lang w:val="es-ES"/>
        </w:rPr>
        <w:t>868</w:t>
      </w:r>
      <w:r w:rsidR="00B01F55">
        <w:rPr>
          <w:rFonts w:ascii="Arial" w:hAnsi="Arial" w:cs="Arial"/>
          <w:sz w:val="18"/>
          <w:szCs w:val="18"/>
          <w:lang w:val="es-ES"/>
        </w:rPr>
        <w:t>.</w:t>
      </w:r>
      <w:r w:rsidR="005D0300">
        <w:rPr>
          <w:rFonts w:ascii="Arial" w:hAnsi="Arial" w:cs="Arial"/>
          <w:sz w:val="18"/>
          <w:szCs w:val="18"/>
          <w:lang w:val="es-ES"/>
        </w:rPr>
        <w:t>5</w:t>
      </w:r>
      <w:r w:rsidR="00B01F55">
        <w:rPr>
          <w:rFonts w:ascii="Arial" w:hAnsi="Arial" w:cs="Arial"/>
          <w:sz w:val="18"/>
          <w:szCs w:val="18"/>
          <w:lang w:val="es-ES"/>
        </w:rPr>
        <w:t>3</w:t>
      </w:r>
      <w:r w:rsidR="00A635F9" w:rsidRPr="00FD1B1D">
        <w:rPr>
          <w:rFonts w:ascii="Arial" w:hAnsi="Arial" w:cs="Arial"/>
          <w:sz w:val="18"/>
          <w:szCs w:val="18"/>
          <w:lang w:val="es-ES"/>
        </w:rPr>
        <w:t xml:space="preserve"> saldo en </w:t>
      </w:r>
      <w:r w:rsidR="00B01F55">
        <w:rPr>
          <w:rFonts w:ascii="Arial" w:hAnsi="Arial" w:cs="Arial"/>
          <w:sz w:val="18"/>
          <w:szCs w:val="18"/>
          <w:lang w:val="es-ES"/>
        </w:rPr>
        <w:t>bancos</w:t>
      </w:r>
      <w:r w:rsidR="00DB420A">
        <w:rPr>
          <w:rFonts w:ascii="Arial" w:hAnsi="Arial" w:cs="Arial"/>
          <w:sz w:val="18"/>
          <w:szCs w:val="18"/>
          <w:lang w:val="es-ES"/>
        </w:rPr>
        <w:t>/tesorería</w:t>
      </w:r>
      <w:r w:rsidR="00A635F9" w:rsidRPr="00FD1B1D">
        <w:rPr>
          <w:rFonts w:ascii="Arial" w:hAnsi="Arial" w:cs="Arial"/>
          <w:sz w:val="18"/>
          <w:szCs w:val="18"/>
          <w:lang w:val="es-ES"/>
        </w:rPr>
        <w:t>,</w:t>
      </w:r>
      <w:r w:rsidR="00DD14E6" w:rsidRPr="00FD1B1D">
        <w:rPr>
          <w:rFonts w:ascii="Arial" w:hAnsi="Arial" w:cs="Arial"/>
          <w:sz w:val="18"/>
          <w:szCs w:val="18"/>
          <w:lang w:val="es-ES"/>
        </w:rPr>
        <w:t xml:space="preserve"> más </w:t>
      </w:r>
      <w:r w:rsidR="009427D1" w:rsidRPr="00FD1B1D">
        <w:rPr>
          <w:rFonts w:ascii="Arial" w:hAnsi="Arial" w:cs="Arial"/>
          <w:sz w:val="18"/>
          <w:szCs w:val="18"/>
          <w:lang w:val="es-ES"/>
        </w:rPr>
        <w:t xml:space="preserve">saldo de </w:t>
      </w:r>
      <w:r w:rsidR="00DD14E6" w:rsidRPr="00FD1B1D">
        <w:rPr>
          <w:rFonts w:ascii="Arial" w:hAnsi="Arial" w:cs="Arial"/>
          <w:sz w:val="18"/>
          <w:szCs w:val="18"/>
          <w:lang w:val="es-ES"/>
        </w:rPr>
        <w:t>inversiones temporales por la cantidad de $</w:t>
      </w:r>
      <w:r w:rsidR="00DB420A">
        <w:rPr>
          <w:rFonts w:ascii="Arial" w:hAnsi="Arial" w:cs="Arial"/>
          <w:sz w:val="18"/>
          <w:szCs w:val="18"/>
          <w:lang w:val="es-ES"/>
        </w:rPr>
        <w:t>1,</w:t>
      </w:r>
      <w:r w:rsidR="005D0300">
        <w:rPr>
          <w:rFonts w:ascii="Arial" w:hAnsi="Arial" w:cs="Arial"/>
          <w:sz w:val="18"/>
          <w:szCs w:val="18"/>
          <w:lang w:val="es-ES"/>
        </w:rPr>
        <w:t>689</w:t>
      </w:r>
      <w:r w:rsidR="000F347B" w:rsidRPr="00FD1B1D">
        <w:rPr>
          <w:rFonts w:ascii="Arial" w:hAnsi="Arial" w:cs="Arial"/>
          <w:sz w:val="18"/>
          <w:szCs w:val="18"/>
          <w:lang w:val="es-ES"/>
        </w:rPr>
        <w:t>,</w:t>
      </w:r>
      <w:r w:rsidR="005D0300">
        <w:rPr>
          <w:rFonts w:ascii="Arial" w:hAnsi="Arial" w:cs="Arial"/>
          <w:sz w:val="18"/>
          <w:szCs w:val="18"/>
          <w:lang w:val="es-ES"/>
        </w:rPr>
        <w:t>491</w:t>
      </w:r>
      <w:r w:rsidR="000F347B" w:rsidRPr="00FD1B1D">
        <w:rPr>
          <w:rFonts w:ascii="Arial" w:hAnsi="Arial" w:cs="Arial"/>
          <w:sz w:val="18"/>
          <w:szCs w:val="18"/>
          <w:lang w:val="es-ES"/>
        </w:rPr>
        <w:t>.</w:t>
      </w:r>
      <w:r w:rsidR="005D0300">
        <w:rPr>
          <w:rFonts w:ascii="Arial" w:hAnsi="Arial" w:cs="Arial"/>
          <w:sz w:val="18"/>
          <w:szCs w:val="18"/>
          <w:lang w:val="es-ES"/>
        </w:rPr>
        <w:t>90</w:t>
      </w:r>
      <w:r w:rsidR="003A3DC6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1.- Fondos con afectación específica.-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D3EAE" w:rsidRPr="00FD1B1D" w:rsidRDefault="00A635F9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Derechos a recibir Efectivo y Equivalentes y Bienes o Servicios a Recibir.- </w:t>
      </w:r>
      <w:r w:rsidR="00FD3EAE" w:rsidRPr="00FD1B1D">
        <w:rPr>
          <w:rFonts w:ascii="Arial" w:hAnsi="Arial" w:cs="Arial"/>
          <w:sz w:val="18"/>
          <w:szCs w:val="18"/>
          <w:lang w:val="es-ES"/>
        </w:rPr>
        <w:t>Este Ente no tiene derechos 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C0318" w:rsidRPr="00FD1B1D">
        <w:rPr>
          <w:rFonts w:ascii="Arial" w:hAnsi="Arial" w:cs="Arial"/>
          <w:sz w:val="18"/>
          <w:szCs w:val="18"/>
          <w:lang w:val="es-ES"/>
        </w:rPr>
        <w:t>r</w:t>
      </w:r>
      <w:r w:rsidR="00FD3EAE" w:rsidRPr="00FD1B1D">
        <w:rPr>
          <w:rFonts w:ascii="Arial" w:hAnsi="Arial" w:cs="Arial"/>
          <w:sz w:val="18"/>
          <w:szCs w:val="18"/>
          <w:lang w:val="es-ES"/>
        </w:rPr>
        <w:t>ecibir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efectivo y equivalentes.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2.- Por tipo de contribución.-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En d</w:t>
      </w:r>
      <w:r w:rsidR="0021158B" w:rsidRPr="00FD1B1D">
        <w:rPr>
          <w:rFonts w:ascii="Arial" w:hAnsi="Arial" w:cs="Arial"/>
          <w:sz w:val="18"/>
          <w:szCs w:val="18"/>
          <w:lang w:val="es-ES"/>
        </w:rPr>
        <w:t>esagregación por su vencimiento.-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B77317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Bienes Disponibles para su Transformación o Consumo (Inventarios).-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ente no cuenta con bienes disponibles para su transformación o consumo.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4.- Bienes disponibles para su transformación.-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5.- Cuentas de almacén.- No aplica.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542BEE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Inversiones Financieras.-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</w:t>
      </w:r>
      <w:r w:rsidR="003266B2" w:rsidRPr="00FD1B1D">
        <w:rPr>
          <w:rFonts w:ascii="Arial" w:hAnsi="Arial" w:cs="Arial"/>
          <w:sz w:val="18"/>
          <w:szCs w:val="18"/>
          <w:lang w:val="es-ES"/>
        </w:rPr>
        <w:t xml:space="preserve">ente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no tiene inversiones financieras.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6.- Inversiones Financieras en fideicomisos.-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7.- Saldos de participaciones y aportaciones de capital.- No aplica.</w:t>
      </w: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9877A4" w:rsidRPr="00FD1B1D" w:rsidRDefault="00A635F9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Bienes</w:t>
      </w:r>
      <w:r w:rsidR="00542BEE" w:rsidRPr="00FD1B1D">
        <w:rPr>
          <w:rFonts w:ascii="Arial" w:hAnsi="Arial" w:cs="Arial"/>
          <w:b/>
          <w:sz w:val="18"/>
          <w:szCs w:val="18"/>
          <w:lang w:val="es-ES"/>
        </w:rPr>
        <w:t xml:space="preserve"> Muebles, Inmuebles e Intangibles.-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S</w:t>
      </w:r>
      <w:r w:rsidR="00542BEE" w:rsidRPr="00FD1B1D">
        <w:rPr>
          <w:rFonts w:ascii="Arial" w:hAnsi="Arial" w:cs="Arial"/>
          <w:sz w:val="18"/>
          <w:szCs w:val="18"/>
          <w:lang w:val="es-ES"/>
        </w:rPr>
        <w:t>e cuenta con un bien intangible (software) del sistema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a</w:t>
      </w:r>
      <w:r w:rsidR="00542BEE" w:rsidRPr="00FD1B1D">
        <w:rPr>
          <w:rFonts w:ascii="Arial" w:hAnsi="Arial" w:cs="Arial"/>
          <w:sz w:val="18"/>
          <w:szCs w:val="18"/>
          <w:lang w:val="es-ES"/>
        </w:rPr>
        <w:t>utomatizado de Contabilidad Gubernamental con cifra en el Estado de la Situación Financiera $</w:t>
      </w:r>
      <w:r w:rsidR="007B1053" w:rsidRPr="00FD1B1D">
        <w:rPr>
          <w:rFonts w:ascii="Arial" w:hAnsi="Arial" w:cs="Arial"/>
          <w:sz w:val="18"/>
          <w:szCs w:val="18"/>
          <w:lang w:val="es-ES"/>
        </w:rPr>
        <w:t>3</w:t>
      </w:r>
      <w:r w:rsidR="00542BEE" w:rsidRPr="00FD1B1D">
        <w:rPr>
          <w:rFonts w:ascii="Arial" w:hAnsi="Arial" w:cs="Arial"/>
          <w:sz w:val="18"/>
          <w:szCs w:val="18"/>
          <w:lang w:val="es-ES"/>
        </w:rPr>
        <w:t>5,000.00</w:t>
      </w:r>
      <w:r w:rsidR="009877A4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8.- Bienes muebles e inmuebles.- No aplica.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4B4" w:rsidRPr="00FD1B1D" w:rsidRDefault="00F124B4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9.- Activos intangibles y </w:t>
      </w:r>
      <w:r w:rsidR="006F13E7" w:rsidRPr="00FD1B1D">
        <w:rPr>
          <w:rFonts w:ascii="Arial" w:hAnsi="Arial" w:cs="Arial"/>
          <w:sz w:val="18"/>
          <w:szCs w:val="18"/>
          <w:lang w:val="es-ES"/>
        </w:rPr>
        <w:t>diferidos.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94C11" w:rsidRPr="00FD1B1D">
        <w:rPr>
          <w:rFonts w:ascii="Arial" w:hAnsi="Arial" w:cs="Arial"/>
          <w:sz w:val="18"/>
          <w:szCs w:val="18"/>
          <w:lang w:val="es-ES"/>
        </w:rPr>
        <w:t>B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ien intangible (software con cifra en el Estado de la Situación </w:t>
      </w:r>
      <w:r w:rsidR="006F13E7" w:rsidRPr="00FD1B1D">
        <w:rPr>
          <w:rFonts w:ascii="Arial" w:hAnsi="Arial" w:cs="Arial"/>
          <w:sz w:val="18"/>
          <w:szCs w:val="18"/>
          <w:lang w:val="es-ES"/>
        </w:rPr>
        <w:t>Financiera de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       </w:t>
      </w:r>
      <w:r w:rsidRPr="00FD1B1D">
        <w:rPr>
          <w:rFonts w:ascii="Arial" w:hAnsi="Arial" w:cs="Arial"/>
          <w:sz w:val="18"/>
          <w:szCs w:val="18"/>
          <w:lang w:val="es-ES"/>
        </w:rPr>
        <w:t>$35,000.00</w:t>
      </w:r>
      <w:r w:rsidR="006F13E7">
        <w:rPr>
          <w:rFonts w:ascii="Arial" w:hAnsi="Arial" w:cs="Arial"/>
          <w:sz w:val="18"/>
          <w:szCs w:val="18"/>
          <w:lang w:val="es-ES"/>
        </w:rPr>
        <w:t>)</w:t>
      </w:r>
    </w:p>
    <w:p w:rsidR="00F11A31" w:rsidRPr="00FD1B1D" w:rsidRDefault="00F11A31" w:rsidP="00F124B4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542BEE" w:rsidRPr="00FD1B1D" w:rsidRDefault="00542BEE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Estimaciones y Deterioros.- </w:t>
      </w:r>
      <w:r w:rsidR="00B77317" w:rsidRPr="00FD1B1D">
        <w:rPr>
          <w:rFonts w:ascii="Arial" w:hAnsi="Arial" w:cs="Arial"/>
          <w:sz w:val="18"/>
          <w:szCs w:val="18"/>
          <w:lang w:val="es-ES"/>
        </w:rPr>
        <w:t>Este ente no tiene estimaciones y deterioros.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F64EA" w:rsidRPr="00FD1B1D" w:rsidRDefault="00AF64EA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10.- Criterios utilizados para las Estimaciones.- No aplica.</w:t>
      </w:r>
    </w:p>
    <w:p w:rsidR="001F13F6" w:rsidRPr="00FD1B1D" w:rsidRDefault="001F13F6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0037B" w:rsidRPr="00FD1B1D" w:rsidRDefault="00A0037B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Otros Activos.-</w:t>
      </w:r>
      <w:r w:rsidR="00B77317" w:rsidRPr="00FD1B1D">
        <w:rPr>
          <w:rFonts w:ascii="Arial" w:hAnsi="Arial" w:cs="Arial"/>
          <w:sz w:val="18"/>
          <w:szCs w:val="18"/>
          <w:lang w:val="es-ES"/>
        </w:rPr>
        <w:t xml:space="preserve"> Este ente no tiene monto totales en cuentas de otros activos de tipo circulante o no circulante</w:t>
      </w:r>
      <w:r w:rsidR="00AF64EA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494485" w:rsidRDefault="00494485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F64EA" w:rsidRPr="00FD1B1D" w:rsidRDefault="00AF64EA" w:rsidP="00F124B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11.- Otros activos circulantes y no circulantes.- No aplica.</w:t>
      </w:r>
    </w:p>
    <w:p w:rsidR="00AA03F6" w:rsidRPr="00FD1B1D" w:rsidRDefault="00AA03F6" w:rsidP="00F124B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A0037B" w:rsidRPr="00FD1B1D" w:rsidRDefault="00A0037B" w:rsidP="00AF64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Pasivo</w:t>
      </w:r>
    </w:p>
    <w:p w:rsidR="00FD1B1D" w:rsidRPr="00FD1B1D" w:rsidRDefault="00FD1B1D" w:rsidP="00AF64EA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995EAB" w:rsidRDefault="00AF64EA" w:rsidP="00AF64EA">
      <w:pPr>
        <w:spacing w:after="0" w:line="240" w:lineRule="auto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1.- Relación de c</w:t>
      </w:r>
      <w:r w:rsidR="00BE2ED4" w:rsidRPr="00FD1B1D">
        <w:rPr>
          <w:rFonts w:ascii="Arial" w:hAnsi="Arial" w:cs="Arial"/>
          <w:sz w:val="18"/>
          <w:szCs w:val="18"/>
          <w:lang w:val="es-ES"/>
        </w:rPr>
        <w:t>uentas y d</w:t>
      </w:r>
      <w:r w:rsidR="00995EAB">
        <w:rPr>
          <w:rFonts w:ascii="Arial" w:hAnsi="Arial" w:cs="Arial"/>
          <w:sz w:val="18"/>
          <w:szCs w:val="18"/>
          <w:lang w:val="es-ES"/>
        </w:rPr>
        <w:t xml:space="preserve">ocumentos por </w:t>
      </w:r>
      <w:r w:rsidR="004978D6">
        <w:rPr>
          <w:rFonts w:ascii="Arial" w:hAnsi="Arial" w:cs="Arial"/>
          <w:sz w:val="18"/>
          <w:szCs w:val="18"/>
          <w:lang w:val="es-ES"/>
        </w:rPr>
        <w:t>pagar. -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este ente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no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presenta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en ejercicio</w:t>
      </w:r>
      <w:r w:rsidR="00995EAB">
        <w:rPr>
          <w:rFonts w:ascii="Arial" w:hAnsi="Arial" w:cs="Arial"/>
          <w:sz w:val="18"/>
          <w:szCs w:val="18"/>
          <w:lang w:val="es-ES"/>
        </w:rPr>
        <w:t xml:space="preserve"> cuentas por pagar a corto </w:t>
      </w:r>
      <w:r w:rsidR="004978D6">
        <w:rPr>
          <w:rFonts w:ascii="Arial" w:hAnsi="Arial" w:cs="Arial"/>
          <w:sz w:val="18"/>
          <w:szCs w:val="18"/>
          <w:lang w:val="es-ES"/>
        </w:rPr>
        <w:t>plazo. -</w:t>
      </w:r>
      <w:r w:rsidR="00562A29">
        <w:rPr>
          <w:rFonts w:ascii="Arial" w:hAnsi="Arial" w:cs="Arial"/>
          <w:sz w:val="18"/>
          <w:szCs w:val="18"/>
          <w:lang w:val="es-ES"/>
        </w:rPr>
        <w:t xml:space="preserve"> No aplica.  </w:t>
      </w:r>
    </w:p>
    <w:p w:rsidR="00A0037B" w:rsidRPr="00FD1B1D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2.- Fondos de bienes de terceros en </w:t>
      </w:r>
      <w:r w:rsidR="004978D6" w:rsidRPr="00FD1B1D">
        <w:rPr>
          <w:rFonts w:ascii="Arial" w:hAnsi="Arial" w:cs="Arial"/>
          <w:sz w:val="18"/>
          <w:szCs w:val="18"/>
          <w:lang w:val="es-ES"/>
        </w:rPr>
        <w:t>administración.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No aplica.</w:t>
      </w: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3.- Pasivos diferidos y otros.- No aplica.</w:t>
      </w: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p w:rsidR="00494485" w:rsidRDefault="00494485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494485" w:rsidRDefault="00494485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E0A3D" w:rsidRPr="00FD1B1D" w:rsidRDefault="00BC61C7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II) NOTAS AL ESTADO DE ACTIVIDADES</w:t>
      </w:r>
    </w:p>
    <w:p w:rsidR="00FD1B1D" w:rsidRPr="00FD1B1D" w:rsidRDefault="00FD1B1D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20FA2" w:rsidRPr="00E776F1" w:rsidRDefault="00454A6C" w:rsidP="00454A6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776F1">
        <w:rPr>
          <w:rFonts w:ascii="Arial" w:hAnsi="Arial" w:cs="Arial"/>
          <w:sz w:val="18"/>
          <w:szCs w:val="18"/>
          <w:lang w:val="es-ES"/>
        </w:rPr>
        <w:t xml:space="preserve">1.- De los rubros de </w:t>
      </w:r>
      <w:r w:rsidRPr="00E776F1">
        <w:rPr>
          <w:rFonts w:ascii="Arial" w:hAnsi="Arial" w:cs="Arial"/>
          <w:color w:val="7030A0"/>
          <w:sz w:val="18"/>
          <w:szCs w:val="18"/>
          <w:lang w:val="es-ES"/>
        </w:rPr>
        <w:t>i</w:t>
      </w:r>
      <w:r w:rsidR="00720FA2" w:rsidRPr="00E776F1">
        <w:rPr>
          <w:rFonts w:ascii="Arial" w:hAnsi="Arial" w:cs="Arial"/>
          <w:sz w:val="18"/>
          <w:szCs w:val="18"/>
          <w:lang w:val="es-ES"/>
        </w:rPr>
        <w:t xml:space="preserve">ngresos de </w:t>
      </w:r>
      <w:r w:rsidRPr="00E776F1">
        <w:rPr>
          <w:rFonts w:ascii="Arial" w:hAnsi="Arial" w:cs="Arial"/>
          <w:sz w:val="18"/>
          <w:szCs w:val="18"/>
          <w:lang w:val="es-ES"/>
        </w:rPr>
        <w:t>g</w:t>
      </w:r>
      <w:r w:rsidR="00720FA2" w:rsidRPr="00E776F1">
        <w:rPr>
          <w:rFonts w:ascii="Arial" w:hAnsi="Arial" w:cs="Arial"/>
          <w:sz w:val="18"/>
          <w:szCs w:val="18"/>
          <w:lang w:val="es-ES"/>
        </w:rPr>
        <w:t>estión</w:t>
      </w:r>
      <w:r w:rsidR="00184B85" w:rsidRPr="00E776F1">
        <w:rPr>
          <w:rFonts w:ascii="Arial" w:hAnsi="Arial" w:cs="Arial"/>
          <w:sz w:val="18"/>
          <w:szCs w:val="18"/>
          <w:lang w:val="es-ES"/>
        </w:rPr>
        <w:t>:</w:t>
      </w:r>
    </w:p>
    <w:p w:rsidR="00F11A31" w:rsidRPr="00FD1B1D" w:rsidRDefault="00F11A31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990"/>
        <w:gridCol w:w="2097"/>
      </w:tblGrid>
      <w:tr w:rsidR="00184B85" w:rsidRPr="00FD1B1D" w:rsidTr="00504F58">
        <w:tc>
          <w:tcPr>
            <w:tcW w:w="4990" w:type="dxa"/>
            <w:vAlign w:val="center"/>
          </w:tcPr>
          <w:p w:rsidR="00184B85" w:rsidRPr="00FD1B1D" w:rsidRDefault="00184B85" w:rsidP="00B4324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Rubro</w:t>
            </w:r>
          </w:p>
        </w:tc>
        <w:tc>
          <w:tcPr>
            <w:tcW w:w="2097" w:type="dxa"/>
            <w:vAlign w:val="center"/>
          </w:tcPr>
          <w:p w:rsidR="00184B85" w:rsidRPr="00FD1B1D" w:rsidRDefault="00184B85" w:rsidP="00B4324F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184B85" w:rsidRPr="00FD1B1D" w:rsidTr="00504F58">
        <w:tc>
          <w:tcPr>
            <w:tcW w:w="4990" w:type="dxa"/>
            <w:vAlign w:val="center"/>
          </w:tcPr>
          <w:p w:rsidR="00184B85" w:rsidRPr="00FD1B1D" w:rsidRDefault="00504F58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Productos </w:t>
            </w:r>
          </w:p>
        </w:tc>
        <w:tc>
          <w:tcPr>
            <w:tcW w:w="2097" w:type="dxa"/>
            <w:vAlign w:val="center"/>
          </w:tcPr>
          <w:p w:rsidR="00184B85" w:rsidRPr="00FD1B1D" w:rsidRDefault="006B2BDE" w:rsidP="00504F58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44283D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711EFC">
              <w:rPr>
                <w:rFonts w:ascii="Arial" w:hAnsi="Arial" w:cs="Arial"/>
                <w:sz w:val="18"/>
                <w:szCs w:val="18"/>
                <w:lang w:val="es-ES"/>
              </w:rPr>
              <w:t xml:space="preserve">  </w:t>
            </w:r>
            <w:r w:rsidR="00504F58">
              <w:rPr>
                <w:rFonts w:ascii="Arial" w:hAnsi="Arial" w:cs="Arial"/>
                <w:sz w:val="18"/>
                <w:szCs w:val="18"/>
                <w:lang w:val="es-ES"/>
              </w:rPr>
              <w:t>180</w:t>
            </w:r>
            <w:r w:rsidR="00030CCE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504F58">
              <w:rPr>
                <w:rFonts w:ascii="Arial" w:hAnsi="Arial" w:cs="Arial"/>
                <w:sz w:val="18"/>
                <w:szCs w:val="18"/>
                <w:lang w:val="es-ES"/>
              </w:rPr>
              <w:t>624</w:t>
            </w:r>
            <w:r w:rsidR="00030CCE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504F58">
              <w:rPr>
                <w:rFonts w:ascii="Arial" w:hAnsi="Arial" w:cs="Arial"/>
                <w:sz w:val="18"/>
                <w:szCs w:val="18"/>
                <w:lang w:val="es-ES"/>
              </w:rPr>
              <w:t>08</w:t>
            </w:r>
          </w:p>
        </w:tc>
      </w:tr>
      <w:tr w:rsidR="00184B85" w:rsidRPr="00FD1B1D" w:rsidTr="00504F58">
        <w:trPr>
          <w:trHeight w:val="575"/>
        </w:trPr>
        <w:tc>
          <w:tcPr>
            <w:tcW w:w="4990" w:type="dxa"/>
            <w:vAlign w:val="center"/>
          </w:tcPr>
          <w:p w:rsidR="00184B85" w:rsidRPr="00FD1B1D" w:rsidRDefault="00184B85" w:rsidP="00504F58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Transferencias, asigna</w:t>
            </w:r>
            <w:r w:rsidR="00504F58">
              <w:rPr>
                <w:rFonts w:ascii="Arial" w:hAnsi="Arial" w:cs="Arial"/>
                <w:sz w:val="18"/>
                <w:szCs w:val="18"/>
                <w:lang w:val="es-ES"/>
              </w:rPr>
              <w:t>ciones, subsidios, subvenciones,                                                   y pensiones y jubilaciones</w:t>
            </w:r>
          </w:p>
        </w:tc>
        <w:tc>
          <w:tcPr>
            <w:tcW w:w="2097" w:type="dxa"/>
            <w:vAlign w:val="center"/>
          </w:tcPr>
          <w:p w:rsidR="00184B85" w:rsidRPr="00FD1B1D" w:rsidRDefault="00AE2957" w:rsidP="00504F58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44283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504F58">
              <w:rPr>
                <w:rFonts w:ascii="Arial" w:hAnsi="Arial" w:cs="Arial"/>
                <w:sz w:val="18"/>
                <w:szCs w:val="18"/>
                <w:lang w:val="es-ES"/>
              </w:rPr>
              <w:t xml:space="preserve">  6</w:t>
            </w:r>
            <w:r w:rsidR="001904F5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504F58">
              <w:rPr>
                <w:rFonts w:ascii="Arial" w:hAnsi="Arial" w:cs="Arial"/>
                <w:sz w:val="18"/>
                <w:szCs w:val="18"/>
                <w:lang w:val="es-ES"/>
              </w:rPr>
              <w:t>000</w:t>
            </w:r>
            <w:r w:rsidR="001904F5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504F58">
              <w:rPr>
                <w:rFonts w:ascii="Arial" w:hAnsi="Arial" w:cs="Arial"/>
                <w:sz w:val="18"/>
                <w:szCs w:val="18"/>
                <w:lang w:val="es-ES"/>
              </w:rPr>
              <w:t>0</w:t>
            </w:r>
            <w:r w:rsidR="001904F5">
              <w:rPr>
                <w:rFonts w:ascii="Arial" w:hAnsi="Arial" w:cs="Arial"/>
                <w:sz w:val="18"/>
                <w:szCs w:val="18"/>
                <w:lang w:val="es-ES"/>
              </w:rPr>
              <w:t>00.00</w:t>
            </w:r>
          </w:p>
        </w:tc>
      </w:tr>
      <w:tr w:rsidR="00504F58" w:rsidRPr="00FD1B1D" w:rsidTr="00504F58">
        <w:trPr>
          <w:trHeight w:val="385"/>
        </w:trPr>
        <w:tc>
          <w:tcPr>
            <w:tcW w:w="4990" w:type="dxa"/>
            <w:vAlign w:val="center"/>
          </w:tcPr>
          <w:p w:rsidR="00504F58" w:rsidRPr="00FD1B1D" w:rsidRDefault="00504F58" w:rsidP="00504F58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Suma</w:t>
            </w:r>
          </w:p>
        </w:tc>
        <w:tc>
          <w:tcPr>
            <w:tcW w:w="2097" w:type="dxa"/>
            <w:vAlign w:val="center"/>
          </w:tcPr>
          <w:p w:rsidR="00504F58" w:rsidRPr="00FD1B1D" w:rsidRDefault="00504F58" w:rsidP="00711EFC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$  6,180,624.08</w:t>
            </w:r>
          </w:p>
        </w:tc>
      </w:tr>
    </w:tbl>
    <w:p w:rsidR="00E776F1" w:rsidRDefault="00E776F1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32B04" w:rsidRPr="00E776F1" w:rsidRDefault="00454A6C" w:rsidP="009877A4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E776F1">
        <w:rPr>
          <w:rFonts w:ascii="Arial" w:hAnsi="Arial" w:cs="Arial"/>
          <w:sz w:val="18"/>
          <w:szCs w:val="18"/>
          <w:lang w:val="es-ES"/>
        </w:rPr>
        <w:t>2.- Otros ingresos.- No aplica.</w:t>
      </w:r>
    </w:p>
    <w:p w:rsidR="00B32B04" w:rsidRPr="00FD1B1D" w:rsidRDefault="00B32B04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Gastos y Otras Pérdidas:</w:t>
      </w:r>
    </w:p>
    <w:p w:rsidR="00D9649C" w:rsidRPr="00FD1B1D" w:rsidRDefault="00D9649C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454A6C" w:rsidRPr="00FD1B1D" w:rsidRDefault="00454A6C" w:rsidP="00454A6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1.- Gastos y otras pérdidas:</w:t>
      </w:r>
    </w:p>
    <w:p w:rsidR="00D9649C" w:rsidRPr="00FD1B1D" w:rsidRDefault="00D9649C" w:rsidP="00454A6C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5018"/>
        <w:gridCol w:w="2098"/>
      </w:tblGrid>
      <w:tr w:rsidR="00B32B04" w:rsidRPr="00FD1B1D" w:rsidTr="00B17C50">
        <w:tc>
          <w:tcPr>
            <w:tcW w:w="0" w:type="auto"/>
            <w:vAlign w:val="center"/>
          </w:tcPr>
          <w:p w:rsidR="00B32B04" w:rsidRPr="00FD1B1D" w:rsidRDefault="0044283D" w:rsidP="0044283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098" w:type="dxa"/>
            <w:vAlign w:val="center"/>
          </w:tcPr>
          <w:p w:rsidR="00B32B04" w:rsidRPr="00FD1B1D" w:rsidRDefault="00B32B04" w:rsidP="0044283D">
            <w:pPr>
              <w:spacing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Monto</w:t>
            </w:r>
          </w:p>
        </w:tc>
      </w:tr>
      <w:tr w:rsidR="00B32B04" w:rsidRPr="00FD1B1D" w:rsidTr="00B17C50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Gastos de funcionamiento</w:t>
            </w:r>
          </w:p>
        </w:tc>
        <w:tc>
          <w:tcPr>
            <w:tcW w:w="2098" w:type="dxa"/>
            <w:vAlign w:val="center"/>
          </w:tcPr>
          <w:p w:rsidR="00B32B04" w:rsidRPr="00FD1B1D" w:rsidRDefault="00B32B04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32B04" w:rsidRPr="00FD1B1D" w:rsidTr="00B17C50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Servicios Generales</w:t>
            </w:r>
          </w:p>
        </w:tc>
        <w:tc>
          <w:tcPr>
            <w:tcW w:w="2098" w:type="dxa"/>
            <w:vAlign w:val="center"/>
          </w:tcPr>
          <w:p w:rsidR="00B32B04" w:rsidRPr="00FD1B1D" w:rsidRDefault="0059697C" w:rsidP="001B0710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04690A"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B435B1">
              <w:rPr>
                <w:rFonts w:ascii="Arial" w:hAnsi="Arial" w:cs="Arial"/>
                <w:sz w:val="18"/>
                <w:szCs w:val="18"/>
                <w:lang w:val="es-ES"/>
              </w:rPr>
              <w:t xml:space="preserve">    </w:t>
            </w:r>
            <w:r w:rsidR="001B0710">
              <w:rPr>
                <w:rFonts w:ascii="Arial" w:hAnsi="Arial" w:cs="Arial"/>
                <w:sz w:val="18"/>
                <w:szCs w:val="18"/>
                <w:lang w:val="es-ES"/>
              </w:rPr>
              <w:t>130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1B0710">
              <w:rPr>
                <w:rFonts w:ascii="Arial" w:hAnsi="Arial" w:cs="Arial"/>
                <w:sz w:val="18"/>
                <w:szCs w:val="18"/>
                <w:lang w:val="es-ES"/>
              </w:rPr>
              <w:t>596</w:t>
            </w:r>
            <w:r w:rsidR="00CB20BB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1B0710">
              <w:rPr>
                <w:rFonts w:ascii="Arial" w:hAnsi="Arial" w:cs="Arial"/>
                <w:sz w:val="18"/>
                <w:szCs w:val="18"/>
                <w:lang w:val="es-ES"/>
              </w:rPr>
              <w:t>83</w:t>
            </w:r>
          </w:p>
        </w:tc>
      </w:tr>
      <w:tr w:rsidR="00B32B04" w:rsidRPr="00FD1B1D" w:rsidTr="00B17C50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Transferencias, Asignaciones, subsidios y otras ayudas</w:t>
            </w:r>
          </w:p>
        </w:tc>
        <w:tc>
          <w:tcPr>
            <w:tcW w:w="2098" w:type="dxa"/>
            <w:vAlign w:val="center"/>
          </w:tcPr>
          <w:p w:rsidR="00B32B04" w:rsidRPr="00FD1B1D" w:rsidRDefault="00B32B04" w:rsidP="00B4324F">
            <w:pPr>
              <w:spacing w:after="120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</w:p>
        </w:tc>
      </w:tr>
      <w:tr w:rsidR="00B32B04" w:rsidRPr="00FD1B1D" w:rsidTr="00B17C50">
        <w:tc>
          <w:tcPr>
            <w:tcW w:w="0" w:type="auto"/>
            <w:vAlign w:val="center"/>
          </w:tcPr>
          <w:p w:rsidR="00B32B04" w:rsidRPr="00FD1B1D" w:rsidRDefault="0059697C" w:rsidP="00B4324F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Ayudas sociales</w:t>
            </w:r>
          </w:p>
        </w:tc>
        <w:tc>
          <w:tcPr>
            <w:tcW w:w="2098" w:type="dxa"/>
            <w:vAlign w:val="center"/>
          </w:tcPr>
          <w:p w:rsidR="00B32B04" w:rsidRPr="00FD1B1D" w:rsidRDefault="0077379A" w:rsidP="00B435B1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1B0710">
              <w:rPr>
                <w:rFonts w:ascii="Arial" w:hAnsi="Arial" w:cs="Arial"/>
                <w:sz w:val="18"/>
                <w:szCs w:val="18"/>
                <w:lang w:val="es-ES"/>
              </w:rPr>
              <w:t xml:space="preserve">  6,198,260.00</w:t>
            </w:r>
          </w:p>
        </w:tc>
      </w:tr>
      <w:tr w:rsidR="001B0710" w:rsidRPr="00FD1B1D" w:rsidTr="00B17C50">
        <w:tc>
          <w:tcPr>
            <w:tcW w:w="0" w:type="auto"/>
            <w:vAlign w:val="center"/>
          </w:tcPr>
          <w:p w:rsidR="001B0710" w:rsidRPr="00FD1B1D" w:rsidRDefault="001B0710" w:rsidP="001B0710">
            <w:pPr>
              <w:spacing w:after="120"/>
              <w:jc w:val="right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Suma</w:t>
            </w:r>
          </w:p>
        </w:tc>
        <w:tc>
          <w:tcPr>
            <w:tcW w:w="2098" w:type="dxa"/>
            <w:vAlign w:val="center"/>
          </w:tcPr>
          <w:p w:rsidR="001B0710" w:rsidRPr="00FD1B1D" w:rsidRDefault="001B0710" w:rsidP="00B435B1">
            <w:pPr>
              <w:spacing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$  6,328,856.83</w:t>
            </w:r>
          </w:p>
        </w:tc>
      </w:tr>
    </w:tbl>
    <w:p w:rsidR="0041701B" w:rsidRDefault="0041701B" w:rsidP="00BD584D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D584D" w:rsidRDefault="0066613D" w:rsidP="00BD584D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El desfase presentado por el monto de -$148,232.75 se debe a que se consideró de los remanentes del ejercicio 2018</w:t>
      </w:r>
      <w:r w:rsidR="0055166F">
        <w:rPr>
          <w:rFonts w:ascii="Arial" w:hAnsi="Arial" w:cs="Arial"/>
          <w:sz w:val="18"/>
          <w:szCs w:val="18"/>
          <w:lang w:val="es-ES"/>
        </w:rPr>
        <w:t xml:space="preserve"> </w:t>
      </w:r>
      <w:r>
        <w:rPr>
          <w:rFonts w:ascii="Arial" w:hAnsi="Arial" w:cs="Arial"/>
          <w:sz w:val="18"/>
          <w:szCs w:val="18"/>
          <w:lang w:val="es-ES"/>
        </w:rPr>
        <w:t>para cumplir con el pago de beca</w:t>
      </w:r>
      <w:r w:rsidR="00894BD7">
        <w:rPr>
          <w:rFonts w:ascii="Arial" w:hAnsi="Arial" w:cs="Arial"/>
          <w:sz w:val="18"/>
          <w:szCs w:val="18"/>
          <w:lang w:val="es-ES"/>
        </w:rPr>
        <w:t>s</w:t>
      </w:r>
      <w:r>
        <w:rPr>
          <w:rFonts w:ascii="Arial" w:hAnsi="Arial" w:cs="Arial"/>
          <w:sz w:val="18"/>
          <w:szCs w:val="18"/>
          <w:lang w:val="es-ES"/>
        </w:rPr>
        <w:t xml:space="preserve"> a alumnos beneficiados de las diferentes Instituciones Públicas de Educación Superior en </w:t>
      </w:r>
      <w:r w:rsidR="00894BD7">
        <w:rPr>
          <w:rFonts w:ascii="Arial" w:hAnsi="Arial" w:cs="Arial"/>
          <w:sz w:val="18"/>
          <w:szCs w:val="18"/>
          <w:lang w:val="es-ES"/>
        </w:rPr>
        <w:t>e</w:t>
      </w:r>
      <w:r>
        <w:rPr>
          <w:rFonts w:ascii="Arial" w:hAnsi="Arial" w:cs="Arial"/>
          <w:sz w:val="18"/>
          <w:szCs w:val="18"/>
          <w:lang w:val="es-ES"/>
        </w:rPr>
        <w:t xml:space="preserve">l </w:t>
      </w:r>
      <w:r w:rsidR="00894BD7">
        <w:rPr>
          <w:rFonts w:ascii="Arial" w:hAnsi="Arial" w:cs="Arial"/>
          <w:sz w:val="18"/>
          <w:szCs w:val="18"/>
          <w:lang w:val="es-ES"/>
        </w:rPr>
        <w:t>E</w:t>
      </w:r>
      <w:r>
        <w:rPr>
          <w:rFonts w:ascii="Arial" w:hAnsi="Arial" w:cs="Arial"/>
          <w:sz w:val="18"/>
          <w:szCs w:val="18"/>
          <w:lang w:val="es-ES"/>
        </w:rPr>
        <w:t>stado de Nayarit.</w:t>
      </w:r>
    </w:p>
    <w:p w:rsidR="008C074C" w:rsidRDefault="008C074C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20FA2" w:rsidRPr="00FD1B1D" w:rsidRDefault="004678FE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III) NOTAS AL ESTADO DE VARIACIÓN EN LA HACIENDA PÚBLICA</w:t>
      </w:r>
    </w:p>
    <w:p w:rsidR="00D9649C" w:rsidRPr="00FD1B1D" w:rsidRDefault="00D9649C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0656AE" w:rsidRPr="00FD1B1D" w:rsidRDefault="000656AE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1.- Modificaciones al patrimonio contribuido.- </w:t>
      </w:r>
      <w:r w:rsidRPr="00FD1B1D">
        <w:rPr>
          <w:rFonts w:ascii="Arial" w:hAnsi="Arial" w:cs="Arial"/>
          <w:sz w:val="18"/>
          <w:szCs w:val="18"/>
          <w:lang w:val="es-ES"/>
        </w:rPr>
        <w:t>No se presentaron modificaciones al patrimonio.</w:t>
      </w:r>
    </w:p>
    <w:p w:rsidR="00394472" w:rsidRPr="00FD1B1D" w:rsidRDefault="00394472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656AE" w:rsidRPr="00FD1B1D" w:rsidRDefault="000656AE" w:rsidP="000656AE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2.- Monto y procedencia de los recursos que modifican al patrimonio.</w:t>
      </w:r>
    </w:p>
    <w:p w:rsidR="00D9649C" w:rsidRPr="00FD1B1D" w:rsidRDefault="00D9649C" w:rsidP="000656AE">
      <w:pPr>
        <w:spacing w:after="0" w:line="240" w:lineRule="auto"/>
        <w:jc w:val="both"/>
        <w:rPr>
          <w:rFonts w:ascii="Arial" w:hAnsi="Arial" w:cs="Arial"/>
          <w:b/>
          <w:color w:val="7030A0"/>
          <w:sz w:val="18"/>
          <w:szCs w:val="18"/>
          <w:lang w:val="es-ES"/>
        </w:rPr>
      </w:pPr>
    </w:p>
    <w:p w:rsidR="00047E5F" w:rsidRPr="00FD1B1D" w:rsidRDefault="004678FE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El saldo neto en la H</w:t>
      </w:r>
      <w:r w:rsidR="0031327A" w:rsidRPr="00FD1B1D">
        <w:rPr>
          <w:rFonts w:ascii="Arial" w:hAnsi="Arial" w:cs="Arial"/>
          <w:sz w:val="18"/>
          <w:szCs w:val="18"/>
          <w:lang w:val="es-ES"/>
        </w:rPr>
        <w:t>acienda Pública/Patrimonio 201</w:t>
      </w:r>
      <w:r w:rsidR="00371389">
        <w:rPr>
          <w:rFonts w:ascii="Arial" w:hAnsi="Arial" w:cs="Arial"/>
          <w:sz w:val="18"/>
          <w:szCs w:val="18"/>
          <w:lang w:val="es-ES"/>
        </w:rPr>
        <w:t>9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, </w:t>
      </w:r>
      <w:r w:rsidR="00462675" w:rsidRPr="00FD1B1D">
        <w:rPr>
          <w:rFonts w:ascii="Arial" w:hAnsi="Arial" w:cs="Arial"/>
          <w:sz w:val="18"/>
          <w:szCs w:val="18"/>
          <w:lang w:val="es-ES"/>
        </w:rPr>
        <w:t>re</w:t>
      </w:r>
      <w:r w:rsidR="00047E5F" w:rsidRPr="00FD1B1D">
        <w:rPr>
          <w:rFonts w:ascii="Arial" w:hAnsi="Arial" w:cs="Arial"/>
          <w:sz w:val="18"/>
          <w:szCs w:val="18"/>
          <w:lang w:val="es-ES"/>
        </w:rPr>
        <w:t>presenta los conceptos siguientes:</w:t>
      </w:r>
    </w:p>
    <w:p w:rsidR="00F11A31" w:rsidRPr="00FD1B1D" w:rsidRDefault="00F11A31" w:rsidP="000656AE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101" w:type="dxa"/>
        <w:tblLook w:val="04A0"/>
      </w:tblPr>
      <w:tblGrid>
        <w:gridCol w:w="4110"/>
        <w:gridCol w:w="2410"/>
      </w:tblGrid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Hacienda Pública/Patrimonio Generado de ejercicios anteriores</w:t>
            </w:r>
          </w:p>
        </w:tc>
        <w:tc>
          <w:tcPr>
            <w:tcW w:w="2410" w:type="dxa"/>
            <w:vAlign w:val="center"/>
          </w:tcPr>
          <w:p w:rsidR="00047E5F" w:rsidRPr="00FD1B1D" w:rsidRDefault="00ED2D91" w:rsidP="005740F4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1,873,593.18</w:t>
            </w:r>
          </w:p>
        </w:tc>
      </w:tr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Hacienda Pública/Patrimonio Generado del ejercicio</w:t>
            </w:r>
          </w:p>
        </w:tc>
        <w:tc>
          <w:tcPr>
            <w:tcW w:w="2410" w:type="dxa"/>
            <w:vAlign w:val="center"/>
          </w:tcPr>
          <w:p w:rsidR="00047E5F" w:rsidRPr="00357266" w:rsidRDefault="00357266" w:rsidP="003572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357266">
              <w:rPr>
                <w:rFonts w:ascii="Arial" w:hAnsi="Arial" w:cs="Arial"/>
                <w:sz w:val="18"/>
                <w:szCs w:val="18"/>
                <w:lang w:val="es-ES"/>
              </w:rPr>
              <w:t>-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 w:rsidR="00047E5F" w:rsidRPr="00357266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Pr="00357266">
              <w:rPr>
                <w:rFonts w:ascii="Arial" w:hAnsi="Arial" w:cs="Arial"/>
                <w:sz w:val="18"/>
                <w:szCs w:val="18"/>
                <w:lang w:val="es-ES"/>
              </w:rPr>
              <w:t>148</w:t>
            </w:r>
            <w:r w:rsidR="00047E5F" w:rsidRPr="00357266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Pr="00357266">
              <w:rPr>
                <w:rFonts w:ascii="Arial" w:hAnsi="Arial" w:cs="Arial"/>
                <w:sz w:val="18"/>
                <w:szCs w:val="18"/>
                <w:lang w:val="es-ES"/>
              </w:rPr>
              <w:t>232</w:t>
            </w:r>
            <w:r w:rsidR="00047E5F" w:rsidRPr="00357266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Pr="00357266">
              <w:rPr>
                <w:rFonts w:ascii="Arial" w:hAnsi="Arial" w:cs="Arial"/>
                <w:sz w:val="18"/>
                <w:szCs w:val="18"/>
                <w:lang w:val="es-ES"/>
              </w:rPr>
              <w:t>75</w:t>
            </w:r>
          </w:p>
        </w:tc>
      </w:tr>
      <w:tr w:rsidR="00047E5F" w:rsidRPr="00FD1B1D" w:rsidTr="00B4324F">
        <w:tc>
          <w:tcPr>
            <w:tcW w:w="4110" w:type="dxa"/>
            <w:vAlign w:val="center"/>
          </w:tcPr>
          <w:p w:rsidR="00047E5F" w:rsidRPr="00FD1B1D" w:rsidRDefault="00047E5F" w:rsidP="00B4324F">
            <w:pPr>
              <w:spacing w:before="120" w:after="120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T o t a l</w:t>
            </w:r>
          </w:p>
        </w:tc>
        <w:tc>
          <w:tcPr>
            <w:tcW w:w="2410" w:type="dxa"/>
            <w:vAlign w:val="center"/>
          </w:tcPr>
          <w:p w:rsidR="00047E5F" w:rsidRPr="00FD1B1D" w:rsidRDefault="00047E5F" w:rsidP="00357266">
            <w:pPr>
              <w:spacing w:before="120" w:after="120"/>
              <w:jc w:val="center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$</w:t>
            </w:r>
            <w:r w:rsidR="005740F4">
              <w:rPr>
                <w:rFonts w:ascii="Arial" w:hAnsi="Arial" w:cs="Arial"/>
                <w:sz w:val="18"/>
                <w:szCs w:val="18"/>
                <w:lang w:val="es-ES"/>
              </w:rPr>
              <w:t>1,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725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,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360</w:t>
            </w: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.</w:t>
            </w:r>
            <w:r w:rsidR="00357266">
              <w:rPr>
                <w:rFonts w:ascii="Arial" w:hAnsi="Arial" w:cs="Arial"/>
                <w:sz w:val="18"/>
                <w:szCs w:val="18"/>
                <w:lang w:val="es-ES"/>
              </w:rPr>
              <w:t>43</w:t>
            </w:r>
          </w:p>
        </w:tc>
      </w:tr>
    </w:tbl>
    <w:p w:rsidR="0041701B" w:rsidRDefault="0041701B" w:rsidP="00A15AA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A15AA1" w:rsidRDefault="00A72266" w:rsidP="00A15AA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El desfase presentado por el monto de -$148,232.75 se debe a que se consideró de los remanentes del ejercicio 2018 para cumplir con el pago de becas a alumnos beneficiados de las diferentes Instituciones Públicas de Educación Superior en el Estado de Nayarit.</w:t>
      </w:r>
    </w:p>
    <w:p w:rsidR="0041701B" w:rsidRDefault="0041701B" w:rsidP="00A15AA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41701B" w:rsidRDefault="0041701B" w:rsidP="00A15AA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41701B" w:rsidRDefault="0041701B" w:rsidP="00A15AA1">
      <w:pPr>
        <w:spacing w:after="12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332C55" w:rsidRPr="00FD1B1D" w:rsidRDefault="0031327A" w:rsidP="00EF4231">
      <w:pPr>
        <w:spacing w:before="120" w:after="12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lastRenderedPageBreak/>
        <w:t>IV) NOTAS AL ESTADO DE FLUJOS DE EFECTIVO</w:t>
      </w:r>
    </w:p>
    <w:p w:rsidR="009877A4" w:rsidRPr="00FD1B1D" w:rsidRDefault="000656A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color w:val="7030A0"/>
          <w:sz w:val="18"/>
          <w:szCs w:val="18"/>
          <w:lang w:val="es-ES"/>
        </w:rPr>
        <w:t xml:space="preserve">1.- </w:t>
      </w:r>
      <w:r w:rsidR="0041701B">
        <w:rPr>
          <w:rFonts w:ascii="Arial" w:hAnsi="Arial" w:cs="Arial"/>
          <w:color w:val="7030A0"/>
          <w:sz w:val="18"/>
          <w:szCs w:val="18"/>
          <w:lang w:val="es-ES"/>
        </w:rPr>
        <w:t xml:space="preserve">El </w:t>
      </w:r>
      <w:r w:rsidRPr="00FD1B1D">
        <w:rPr>
          <w:rFonts w:ascii="Arial" w:hAnsi="Arial" w:cs="Arial"/>
          <w:color w:val="7030A0"/>
          <w:sz w:val="18"/>
          <w:szCs w:val="18"/>
          <w:lang w:val="es-ES"/>
        </w:rPr>
        <w:t>A</w:t>
      </w:r>
      <w:r w:rsidR="0031327A" w:rsidRPr="00FD1B1D">
        <w:rPr>
          <w:rFonts w:ascii="Arial" w:hAnsi="Arial" w:cs="Arial"/>
          <w:sz w:val="18"/>
          <w:szCs w:val="18"/>
          <w:lang w:val="es-ES"/>
        </w:rPr>
        <w:t>nálisis de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57123" w:rsidRPr="00FD1B1D">
        <w:rPr>
          <w:rFonts w:ascii="Arial" w:hAnsi="Arial" w:cs="Arial"/>
          <w:sz w:val="18"/>
          <w:szCs w:val="18"/>
          <w:lang w:val="es-ES"/>
        </w:rPr>
        <w:t>l</w:t>
      </w:r>
      <w:r w:rsidRPr="00FD1B1D">
        <w:rPr>
          <w:rFonts w:ascii="Arial" w:hAnsi="Arial" w:cs="Arial"/>
          <w:sz w:val="18"/>
          <w:szCs w:val="18"/>
          <w:lang w:val="es-ES"/>
        </w:rPr>
        <w:t>os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 saldo</w:t>
      </w:r>
      <w:r w:rsidRPr="00FD1B1D">
        <w:rPr>
          <w:rFonts w:ascii="Arial" w:hAnsi="Arial" w:cs="Arial"/>
          <w:sz w:val="18"/>
          <w:szCs w:val="18"/>
          <w:lang w:val="es-ES"/>
        </w:rPr>
        <w:t>s</w:t>
      </w:r>
      <w:r w:rsidR="0031327A" w:rsidRPr="00FD1B1D">
        <w:rPr>
          <w:rFonts w:ascii="Arial" w:hAnsi="Arial" w:cs="Arial"/>
          <w:sz w:val="18"/>
          <w:szCs w:val="18"/>
          <w:lang w:val="es-ES"/>
        </w:rPr>
        <w:t xml:space="preserve"> inicial y final que figuran en la última parte del Estado de Flujo de Efectivo en la cuenta de efectivo y equivalente es como sigue:</w:t>
      </w:r>
    </w:p>
    <w:p w:rsidR="00D9649C" w:rsidRPr="00FD1B1D" w:rsidRDefault="00D9649C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Style w:val="Tablaconcuadrcula"/>
        <w:tblW w:w="0" w:type="auto"/>
        <w:tblInd w:w="1280" w:type="dxa"/>
        <w:tblLook w:val="04A0"/>
      </w:tblPr>
      <w:tblGrid>
        <w:gridCol w:w="4253"/>
        <w:gridCol w:w="2580"/>
      </w:tblGrid>
      <w:tr w:rsidR="0041701B" w:rsidRPr="00FD1B1D" w:rsidTr="008F158C">
        <w:tc>
          <w:tcPr>
            <w:tcW w:w="4253" w:type="dxa"/>
            <w:vAlign w:val="center"/>
          </w:tcPr>
          <w:p w:rsidR="0041701B" w:rsidRPr="00FD1B1D" w:rsidRDefault="0041701B" w:rsidP="00B4324F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b/>
                <w:sz w:val="18"/>
                <w:szCs w:val="18"/>
                <w:lang w:val="es-ES"/>
              </w:rPr>
              <w:t>Concepto</w:t>
            </w:r>
          </w:p>
        </w:tc>
        <w:tc>
          <w:tcPr>
            <w:tcW w:w="2580" w:type="dxa"/>
            <w:vAlign w:val="center"/>
          </w:tcPr>
          <w:p w:rsidR="0041701B" w:rsidRPr="00FD1B1D" w:rsidRDefault="0041701B" w:rsidP="0041701B">
            <w:pPr>
              <w:spacing w:before="120" w:after="120"/>
              <w:jc w:val="center"/>
              <w:rPr>
                <w:rFonts w:ascii="Arial" w:hAnsi="Arial" w:cs="Arial"/>
                <w:b/>
                <w:sz w:val="18"/>
                <w:szCs w:val="18"/>
                <w:lang w:val="es-ES"/>
              </w:rPr>
            </w:pPr>
            <w:r>
              <w:rPr>
                <w:rFonts w:ascii="Arial" w:hAnsi="Arial" w:cs="Arial"/>
                <w:b/>
                <w:sz w:val="18"/>
                <w:szCs w:val="18"/>
                <w:lang w:val="es-ES"/>
              </w:rPr>
              <w:t>Al 31 de diciembre del 2019</w:t>
            </w:r>
          </w:p>
        </w:tc>
      </w:tr>
      <w:tr w:rsidR="0041701B" w:rsidRPr="00FD1B1D" w:rsidTr="008F158C">
        <w:tc>
          <w:tcPr>
            <w:tcW w:w="4253" w:type="dxa"/>
          </w:tcPr>
          <w:p w:rsidR="0041701B" w:rsidRPr="00FD1B1D" w:rsidRDefault="0041701B" w:rsidP="00EF423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Efectivo en Bancos-Tesorería (saldo inicial)</w:t>
            </w:r>
          </w:p>
        </w:tc>
        <w:tc>
          <w:tcPr>
            <w:tcW w:w="2580" w:type="dxa"/>
          </w:tcPr>
          <w:p w:rsidR="0041701B" w:rsidRPr="00FD1B1D" w:rsidRDefault="0041701B" w:rsidP="004170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$ 1,838,593.18</w:t>
            </w:r>
          </w:p>
        </w:tc>
      </w:tr>
      <w:tr w:rsidR="0041701B" w:rsidRPr="00FD1B1D" w:rsidTr="008F158C">
        <w:tc>
          <w:tcPr>
            <w:tcW w:w="4253" w:type="dxa"/>
          </w:tcPr>
          <w:p w:rsidR="0041701B" w:rsidRPr="00FD1B1D" w:rsidRDefault="0041701B" w:rsidP="00EF4231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>Efectivo en Bancos-Tesorería (saldo final)</w:t>
            </w:r>
          </w:p>
        </w:tc>
        <w:tc>
          <w:tcPr>
            <w:tcW w:w="2580" w:type="dxa"/>
          </w:tcPr>
          <w:p w:rsidR="0041701B" w:rsidRPr="00FD1B1D" w:rsidRDefault="0041701B" w:rsidP="0041701B">
            <w:pPr>
              <w:spacing w:before="120" w:after="120"/>
              <w:jc w:val="both"/>
              <w:rPr>
                <w:rFonts w:ascii="Arial" w:hAnsi="Arial" w:cs="Arial"/>
                <w:sz w:val="18"/>
                <w:szCs w:val="18"/>
                <w:lang w:val="es-ES"/>
              </w:rPr>
            </w:pPr>
            <w:r w:rsidRPr="00FD1B1D">
              <w:rPr>
                <w:rFonts w:ascii="Arial" w:hAnsi="Arial" w:cs="Arial"/>
                <w:sz w:val="18"/>
                <w:szCs w:val="18"/>
                <w:lang w:val="es-ES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  <w:lang w:val="es-ES"/>
              </w:rPr>
              <w:t>$ 1,690,360.43</w:t>
            </w:r>
          </w:p>
        </w:tc>
      </w:tr>
    </w:tbl>
    <w:p w:rsidR="00D9649C" w:rsidRPr="00FD1B1D" w:rsidRDefault="00D9649C" w:rsidP="00D9649C">
      <w:pPr>
        <w:spacing w:after="0" w:line="240" w:lineRule="auto"/>
        <w:jc w:val="both"/>
        <w:rPr>
          <w:rFonts w:ascii="Arial" w:hAnsi="Arial" w:cs="Arial"/>
          <w:color w:val="7030A0"/>
          <w:sz w:val="18"/>
          <w:szCs w:val="18"/>
          <w:lang w:val="es-ES"/>
        </w:rPr>
      </w:pPr>
    </w:p>
    <w:p w:rsidR="000656AE" w:rsidRPr="00FD1B1D" w:rsidRDefault="000656AE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2.- Detalle de adquisiciones de bienes muebles e inmuebles.- </w:t>
      </w:r>
      <w:r w:rsidR="00D9649C" w:rsidRPr="00FD1B1D">
        <w:rPr>
          <w:rFonts w:ascii="Arial" w:hAnsi="Arial" w:cs="Arial"/>
          <w:sz w:val="18"/>
          <w:szCs w:val="18"/>
          <w:lang w:val="es-ES"/>
        </w:rPr>
        <w:t xml:space="preserve">Este ente </w:t>
      </w:r>
      <w:r w:rsidR="00092CFB">
        <w:rPr>
          <w:rFonts w:ascii="Arial" w:hAnsi="Arial" w:cs="Arial"/>
          <w:sz w:val="18"/>
          <w:szCs w:val="18"/>
          <w:lang w:val="es-ES"/>
        </w:rPr>
        <w:t>no tiene adquisiciones de bienes muebles e inmuebles</w:t>
      </w:r>
      <w:r w:rsidR="00D9649C" w:rsidRPr="00FD1B1D">
        <w:rPr>
          <w:rFonts w:ascii="Arial" w:hAnsi="Arial" w:cs="Arial"/>
          <w:sz w:val="18"/>
          <w:szCs w:val="18"/>
          <w:lang w:val="es-ES"/>
        </w:rPr>
        <w:t>.</w:t>
      </w:r>
      <w:r w:rsidR="00092CFB">
        <w:rPr>
          <w:rFonts w:ascii="Arial" w:hAnsi="Arial" w:cs="Arial"/>
          <w:sz w:val="18"/>
          <w:szCs w:val="18"/>
          <w:lang w:val="es-ES"/>
        </w:rPr>
        <w:t>- No aplica.</w:t>
      </w:r>
    </w:p>
    <w:p w:rsidR="00D9649C" w:rsidRDefault="00D9649C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3.- Conciliación de los flujos de efectivo netos de las actividades de </w:t>
      </w:r>
      <w:r w:rsidR="00B47FFB" w:rsidRPr="00FD1B1D">
        <w:rPr>
          <w:rFonts w:ascii="Arial" w:hAnsi="Arial" w:cs="Arial"/>
          <w:sz w:val="18"/>
          <w:szCs w:val="18"/>
          <w:lang w:val="es-ES"/>
        </w:rPr>
        <w:t>operación.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No aplica.</w:t>
      </w:r>
    </w:p>
    <w:p w:rsidR="006B1AE1" w:rsidRDefault="006B1AE1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84533" w:rsidRPr="00FD1B1D" w:rsidRDefault="006C4C0D" w:rsidP="00D93BB1">
      <w:pPr>
        <w:spacing w:before="120" w:after="0" w:line="240" w:lineRule="auto"/>
        <w:ind w:left="284" w:hanging="284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V) CONCILIACIÓN ENTRE LOS INGRESOS PRESUPUESTARIOS Y CONTABLES, ASÍ COMO ENTRE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LOS EGRESOS PRESUPUESTARIOS Y LOS GASTOS CONTABLES</w:t>
      </w:r>
      <w:r w:rsidR="0046453E" w:rsidRPr="00FD1B1D">
        <w:rPr>
          <w:rFonts w:ascii="Arial" w:hAnsi="Arial" w:cs="Arial"/>
          <w:b/>
          <w:sz w:val="18"/>
          <w:szCs w:val="18"/>
          <w:lang w:val="es-ES"/>
        </w:rPr>
        <w:t>.</w:t>
      </w:r>
    </w:p>
    <w:p w:rsidR="0046453E" w:rsidRPr="00FD1B1D" w:rsidRDefault="0046453E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tbl>
      <w:tblPr>
        <w:tblW w:w="0" w:type="auto"/>
        <w:tblInd w:w="1029" w:type="dxa"/>
        <w:tblCellMar>
          <w:left w:w="70" w:type="dxa"/>
          <w:right w:w="70" w:type="dxa"/>
        </w:tblCellMar>
        <w:tblLook w:val="04A0"/>
      </w:tblPr>
      <w:tblGrid>
        <w:gridCol w:w="1029"/>
        <w:gridCol w:w="1028"/>
        <w:gridCol w:w="1346"/>
        <w:gridCol w:w="610"/>
        <w:gridCol w:w="350"/>
        <w:gridCol w:w="2977"/>
      </w:tblGrid>
      <w:tr w:rsidR="0046453E" w:rsidRPr="00FD1B1D" w:rsidTr="0046453E">
        <w:trPr>
          <w:trHeight w:val="300"/>
        </w:trPr>
        <w:tc>
          <w:tcPr>
            <w:tcW w:w="0" w:type="auto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73B55" w:rsidP="00EF423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PRONABES-NAYARIT</w:t>
            </w:r>
          </w:p>
        </w:tc>
      </w:tr>
      <w:tr w:rsidR="0046453E" w:rsidRPr="00FD1B1D" w:rsidTr="0046453E">
        <w:trPr>
          <w:trHeight w:val="30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B4324F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entre los Ingresos Presupuestarios y Contables</w:t>
            </w:r>
          </w:p>
        </w:tc>
      </w:tr>
      <w:tr w:rsidR="0046453E" w:rsidRPr="00FD1B1D" w:rsidTr="001E2498">
        <w:trPr>
          <w:trHeight w:val="80"/>
        </w:trPr>
        <w:tc>
          <w:tcPr>
            <w:tcW w:w="0" w:type="auto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7E64E5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r w:rsidR="00282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al 31 de diciembre de 201</w:t>
            </w:r>
            <w:r w:rsidR="007E64E5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46453E" w:rsidRPr="00FD1B1D" w:rsidTr="008E1ED4">
        <w:trPr>
          <w:trHeight w:val="315"/>
        </w:trPr>
        <w:tc>
          <w:tcPr>
            <w:tcW w:w="0" w:type="auto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1. Ingresos Presupuestarios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282823" w:rsidP="002828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7E64E5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6,180,624.08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2. Más ingresos contables no presupuestarios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Cs/>
                <w:color w:val="000000"/>
                <w:sz w:val="18"/>
                <w:szCs w:val="18"/>
                <w:lang w:eastAsia="es-MX"/>
              </w:rPr>
              <w:t>3. Menos ingresos presupuestarios no contables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46453E" w:rsidRPr="00FD1B1D" w:rsidTr="0046453E">
        <w:trPr>
          <w:trHeight w:val="31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46453E" w:rsidRPr="00FD1B1D" w:rsidTr="008E1ED4">
        <w:trPr>
          <w:trHeight w:val="315"/>
        </w:trPr>
        <w:tc>
          <w:tcPr>
            <w:tcW w:w="0" w:type="auto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4. Ingresos Contables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46453E" w:rsidP="00EF423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46453E" w:rsidRPr="00FD1B1D" w:rsidRDefault="00282823" w:rsidP="0028282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 xml:space="preserve"> </w:t>
            </w:r>
            <w:r w:rsidR="00863122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6,180,624.08</w:t>
            </w:r>
          </w:p>
        </w:tc>
      </w:tr>
    </w:tbl>
    <w:p w:rsidR="00F84533" w:rsidRPr="00FD1B1D" w:rsidRDefault="00F84533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tbl>
      <w:tblPr>
        <w:tblpPr w:leftFromText="141" w:rightFromText="141" w:vertAnchor="text" w:horzAnchor="margin" w:tblpX="1063" w:tblpY="20"/>
        <w:tblOverlap w:val="never"/>
        <w:tblW w:w="9384" w:type="dxa"/>
        <w:tblCellMar>
          <w:left w:w="70" w:type="dxa"/>
          <w:right w:w="70" w:type="dxa"/>
        </w:tblCellMar>
        <w:tblLook w:val="04A0"/>
      </w:tblPr>
      <w:tblGrid>
        <w:gridCol w:w="4553"/>
        <w:gridCol w:w="157"/>
        <w:gridCol w:w="157"/>
        <w:gridCol w:w="650"/>
        <w:gridCol w:w="959"/>
        <w:gridCol w:w="965"/>
        <w:gridCol w:w="2103"/>
      </w:tblGrid>
      <w:tr w:rsidR="00D93BB1" w:rsidRPr="00FD1B1D" w:rsidTr="008F158C">
        <w:trPr>
          <w:gridAfter w:val="1"/>
          <w:wAfter w:w="2164" w:type="dxa"/>
          <w:trHeight w:val="300"/>
        </w:trPr>
        <w:tc>
          <w:tcPr>
            <w:tcW w:w="7220" w:type="dxa"/>
            <w:gridSpan w:val="6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860FC4" w:rsidP="00D93B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PRONABES-NAYARIT</w:t>
            </w:r>
          </w:p>
        </w:tc>
      </w:tr>
      <w:tr w:rsidR="00D93BB1" w:rsidRPr="00FD1B1D" w:rsidTr="008F158C">
        <w:trPr>
          <w:gridAfter w:val="1"/>
          <w:wAfter w:w="2164" w:type="dxa"/>
          <w:trHeight w:val="300"/>
        </w:trPr>
        <w:tc>
          <w:tcPr>
            <w:tcW w:w="7220" w:type="dxa"/>
            <w:gridSpan w:val="6"/>
            <w:tcBorders>
              <w:top w:val="nil"/>
              <w:left w:val="single" w:sz="8" w:space="0" w:color="auto"/>
              <w:bottom w:val="nil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Conciliación entre los Egresos Presupuestarios y los Gastos Contables</w:t>
            </w: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7220" w:type="dxa"/>
            <w:gridSpan w:val="6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883973">
            <w:pPr>
              <w:spacing w:before="120" w:after="0" w:line="240" w:lineRule="auto"/>
              <w:jc w:val="center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 xml:space="preserve">Correspondiente del 1 de </w:t>
            </w:r>
            <w:r w:rsidR="0028282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enero al 31 de diciembre de 201</w:t>
            </w:r>
            <w:r w:rsidR="00883973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9</w:t>
            </w: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4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1. Total de egresos presupuestarios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993CE5" w:rsidP="00993C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6,328,,856.83</w:t>
            </w:r>
          </w:p>
        </w:tc>
      </w:tr>
      <w:tr w:rsidR="00D93BB1" w:rsidRPr="00FD1B1D" w:rsidTr="008F158C">
        <w:trPr>
          <w:trHeight w:val="31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4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2. Menos egresos presupuestarios no contables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B1" w:rsidRPr="00FD1B1D" w:rsidRDefault="00202249" w:rsidP="00081103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93BB1" w:rsidRPr="00FD1B1D" w:rsidTr="008F158C">
        <w:trPr>
          <w:trHeight w:val="31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4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3. Más gastos contables no presupuestarios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0.00</w:t>
            </w:r>
          </w:p>
        </w:tc>
      </w:tr>
      <w:tr w:rsidR="00D93BB1" w:rsidRPr="00FD1B1D" w:rsidTr="008F158C">
        <w:trPr>
          <w:trHeight w:val="315"/>
        </w:trPr>
        <w:tc>
          <w:tcPr>
            <w:tcW w:w="43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6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21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250C4" w:rsidRPr="00FD1B1D" w:rsidRDefault="00F250C4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</w:tr>
      <w:tr w:rsidR="00D93BB1" w:rsidRPr="00FD1B1D" w:rsidTr="008F158C">
        <w:trPr>
          <w:gridAfter w:val="1"/>
          <w:wAfter w:w="2164" w:type="dxa"/>
          <w:trHeight w:val="315"/>
        </w:trPr>
        <w:tc>
          <w:tcPr>
            <w:tcW w:w="465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4. Total de Gasto</w:t>
            </w:r>
            <w:r w:rsidR="00DC62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FD1B1D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 xml:space="preserve"> Contable</w:t>
            </w:r>
            <w:r w:rsidR="00DC62AB">
              <w:rPr>
                <w:rFonts w:ascii="Arial" w:eastAsia="Times New Roman" w:hAnsi="Arial" w:cs="Arial"/>
                <w:b/>
                <w:color w:val="000000"/>
                <w:sz w:val="18"/>
                <w:szCs w:val="18"/>
                <w:lang w:eastAsia="es-MX"/>
              </w:rPr>
              <w:t>s</w:t>
            </w:r>
            <w:r w:rsidRPr="00FD1B1D"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  <w:t> </w:t>
            </w:r>
          </w:p>
        </w:tc>
        <w:tc>
          <w:tcPr>
            <w:tcW w:w="61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D93BB1" w:rsidP="00D93BB1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color w:val="000000"/>
                <w:sz w:val="18"/>
                <w:szCs w:val="18"/>
                <w:lang w:eastAsia="es-MX"/>
              </w:rPr>
            </w:pPr>
          </w:p>
        </w:tc>
        <w:tc>
          <w:tcPr>
            <w:tcW w:w="1950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D93BB1" w:rsidRPr="00FD1B1D" w:rsidRDefault="00993CE5" w:rsidP="00993CE5">
            <w:pPr>
              <w:spacing w:before="120" w:after="0" w:line="240" w:lineRule="auto"/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6,328,856</w:t>
            </w:r>
            <w:r w:rsidR="00D93BB1" w:rsidRPr="00FD1B1D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.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es-MX"/>
              </w:rPr>
              <w:t>83</w:t>
            </w:r>
          </w:p>
        </w:tc>
      </w:tr>
    </w:tbl>
    <w:p w:rsidR="0046453E" w:rsidRPr="00FD1B1D" w:rsidRDefault="0046453E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br w:type="textWrapping" w:clear="all"/>
      </w:r>
    </w:p>
    <w:p w:rsidR="00775DCA" w:rsidRPr="00FD1B1D" w:rsidRDefault="00775DCA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F84533" w:rsidRPr="00FD1B1D" w:rsidRDefault="00D9649C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</w:t>
      </w:r>
      <w:r w:rsidR="00F84533" w:rsidRPr="00FD1B1D">
        <w:rPr>
          <w:rFonts w:ascii="Arial" w:hAnsi="Arial" w:cs="Arial"/>
          <w:b/>
          <w:sz w:val="18"/>
          <w:szCs w:val="18"/>
          <w:lang w:val="es-ES"/>
        </w:rPr>
        <w:t xml:space="preserve">) NOTAS DE MEMORIA (CUENTAS DE ORDEN).- </w:t>
      </w:r>
    </w:p>
    <w:p w:rsidR="00394472" w:rsidRPr="00FD1B1D" w:rsidRDefault="00394472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D9649C" w:rsidRDefault="00D9649C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a)</w:t>
      </w:r>
      <w:r w:rsidR="00A80C87" w:rsidRPr="00FD1B1D">
        <w:rPr>
          <w:rFonts w:ascii="Arial" w:hAnsi="Arial" w:cs="Arial"/>
          <w:sz w:val="18"/>
          <w:szCs w:val="18"/>
          <w:lang w:val="es-ES"/>
        </w:rPr>
        <w:t>.- Cuentas de orden contables.- No aplica.</w:t>
      </w:r>
    </w:p>
    <w:p w:rsidR="00B1579D" w:rsidRPr="00FD1B1D" w:rsidRDefault="00B1579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E2498" w:rsidRDefault="00A80C87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b</w:t>
      </w:r>
      <w:r w:rsidR="008F158C" w:rsidRPr="00FD1B1D">
        <w:rPr>
          <w:rFonts w:ascii="Arial" w:hAnsi="Arial" w:cs="Arial"/>
          <w:sz w:val="18"/>
          <w:szCs w:val="18"/>
          <w:lang w:val="es-ES"/>
        </w:rPr>
        <w:t>). -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Cuentas de or</w:t>
      </w:r>
      <w:r w:rsidR="0034748D" w:rsidRPr="00FD1B1D">
        <w:rPr>
          <w:rFonts w:ascii="Arial" w:hAnsi="Arial" w:cs="Arial"/>
          <w:sz w:val="18"/>
          <w:szCs w:val="18"/>
          <w:lang w:val="es-ES"/>
        </w:rPr>
        <w:t>den presupuestarias.</w:t>
      </w:r>
    </w:p>
    <w:p w:rsidR="00B1579D" w:rsidRDefault="00B1579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lastRenderedPageBreak/>
        <w:t>En cumplimiento a lo establecido en la Ley General de Contabilidad Gubernamental, los momentos contables de los ingresos y de los egresos se registran en cuentas de orden presupuestarias.</w:t>
      </w:r>
    </w:p>
    <w:p w:rsidR="00BF4A79" w:rsidRPr="00FD1B1D" w:rsidRDefault="00BF4A79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26AEA" w:rsidRPr="00FD1B1D" w:rsidRDefault="00926AEA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b/>
          <w:sz w:val="18"/>
          <w:szCs w:val="18"/>
          <w:lang w:val="es-ES"/>
        </w:rPr>
        <w:t>1.-</w:t>
      </w:r>
      <w:r w:rsidR="0034748D" w:rsidRPr="00FD1B1D">
        <w:rPr>
          <w:rFonts w:ascii="Arial" w:hAnsi="Arial" w:cs="Arial"/>
          <w:b/>
          <w:sz w:val="18"/>
          <w:szCs w:val="18"/>
          <w:lang w:val="es-ES"/>
        </w:rPr>
        <w:t xml:space="preserve"> Cuentas de </w:t>
      </w:r>
      <w:r w:rsidR="00A95C05" w:rsidRPr="00FD1B1D">
        <w:rPr>
          <w:rFonts w:ascii="Arial" w:hAnsi="Arial" w:cs="Arial"/>
          <w:b/>
          <w:sz w:val="18"/>
          <w:szCs w:val="18"/>
          <w:lang w:val="es-ES"/>
        </w:rPr>
        <w:t>ingresos:</w:t>
      </w:r>
    </w:p>
    <w:p w:rsidR="007A0832" w:rsidRDefault="007A0832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Ley de ingresos estimada</w:t>
      </w:r>
      <w:r w:rsidR="0034748D" w:rsidRPr="00FD1B1D">
        <w:rPr>
          <w:rFonts w:ascii="Arial" w:hAnsi="Arial" w:cs="Arial"/>
          <w:sz w:val="18"/>
          <w:szCs w:val="18"/>
          <w:lang w:val="es-ES"/>
        </w:rPr>
        <w:t xml:space="preserve">      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34748D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004101">
        <w:rPr>
          <w:rFonts w:ascii="Arial" w:hAnsi="Arial" w:cs="Arial"/>
          <w:sz w:val="18"/>
          <w:szCs w:val="18"/>
          <w:lang w:val="es-ES"/>
        </w:rPr>
        <w:t xml:space="preserve">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</w:t>
      </w:r>
      <w:r w:rsidR="0034748D" w:rsidRPr="00FD1B1D">
        <w:rPr>
          <w:rFonts w:ascii="Arial" w:hAnsi="Arial" w:cs="Arial"/>
          <w:sz w:val="18"/>
          <w:szCs w:val="18"/>
          <w:lang w:val="es-ES"/>
        </w:rPr>
        <w:t>$</w:t>
      </w:r>
      <w:r w:rsidR="00004101">
        <w:rPr>
          <w:rFonts w:ascii="Arial" w:hAnsi="Arial" w:cs="Arial"/>
          <w:sz w:val="18"/>
          <w:szCs w:val="18"/>
          <w:lang w:val="es-ES"/>
        </w:rPr>
        <w:t>1</w:t>
      </w:r>
      <w:r w:rsidR="00BF4A79">
        <w:rPr>
          <w:rFonts w:ascii="Arial" w:hAnsi="Arial" w:cs="Arial"/>
          <w:sz w:val="18"/>
          <w:szCs w:val="18"/>
          <w:lang w:val="es-ES"/>
        </w:rPr>
        <w:t>0</w:t>
      </w:r>
      <w:r w:rsidR="0034748D" w:rsidRPr="00FD1B1D">
        <w:rPr>
          <w:rFonts w:ascii="Arial" w:hAnsi="Arial" w:cs="Arial"/>
          <w:sz w:val="18"/>
          <w:szCs w:val="18"/>
          <w:lang w:val="es-ES"/>
        </w:rPr>
        <w:t>,</w:t>
      </w:r>
      <w:r w:rsidR="00004101">
        <w:rPr>
          <w:rFonts w:ascii="Arial" w:hAnsi="Arial" w:cs="Arial"/>
          <w:sz w:val="18"/>
          <w:szCs w:val="18"/>
          <w:lang w:val="es-ES"/>
        </w:rPr>
        <w:t>908</w:t>
      </w:r>
      <w:r w:rsidR="0034748D" w:rsidRPr="00FD1B1D">
        <w:rPr>
          <w:rFonts w:ascii="Arial" w:hAnsi="Arial" w:cs="Arial"/>
          <w:sz w:val="18"/>
          <w:szCs w:val="18"/>
          <w:lang w:val="es-ES"/>
        </w:rPr>
        <w:t>,</w:t>
      </w:r>
      <w:r w:rsidR="00004101">
        <w:rPr>
          <w:rFonts w:ascii="Arial" w:hAnsi="Arial" w:cs="Arial"/>
          <w:sz w:val="18"/>
          <w:szCs w:val="18"/>
          <w:lang w:val="es-ES"/>
        </w:rPr>
        <w:t>593</w:t>
      </w:r>
      <w:r w:rsidR="0034748D" w:rsidRPr="00FD1B1D">
        <w:rPr>
          <w:rFonts w:ascii="Arial" w:hAnsi="Arial" w:cs="Arial"/>
          <w:sz w:val="18"/>
          <w:szCs w:val="18"/>
          <w:lang w:val="es-ES"/>
        </w:rPr>
        <w:t>.</w:t>
      </w:r>
      <w:r w:rsidR="00004101">
        <w:rPr>
          <w:rFonts w:ascii="Arial" w:hAnsi="Arial" w:cs="Arial"/>
          <w:sz w:val="18"/>
          <w:szCs w:val="18"/>
          <w:lang w:val="es-ES"/>
        </w:rPr>
        <w:t>18</w:t>
      </w:r>
    </w:p>
    <w:p w:rsidR="00004101" w:rsidRDefault="00004101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Ley de ingresos por ejecutar                               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 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$</w:t>
      </w:r>
      <w:r>
        <w:rPr>
          <w:rFonts w:ascii="Arial" w:hAnsi="Arial" w:cs="Arial"/>
          <w:sz w:val="18"/>
          <w:szCs w:val="18"/>
          <w:lang w:val="es-ES"/>
        </w:rPr>
        <w:t>4,727,969.10</w:t>
      </w:r>
    </w:p>
    <w:p w:rsidR="00D951D8" w:rsidRPr="00FD1B1D" w:rsidRDefault="00D951D8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Modificaciones a la ley de ingresos estimada </w:t>
      </w:r>
      <w:r w:rsidR="00004101">
        <w:rPr>
          <w:rFonts w:ascii="Arial" w:hAnsi="Arial" w:cs="Arial"/>
          <w:sz w:val="18"/>
          <w:szCs w:val="18"/>
          <w:lang w:val="es-ES"/>
        </w:rPr>
        <w:t xml:space="preserve">   </w:t>
      </w:r>
      <w:r w:rsidR="00AB61F9">
        <w:rPr>
          <w:rFonts w:ascii="Arial" w:hAnsi="Arial" w:cs="Arial"/>
          <w:sz w:val="18"/>
          <w:szCs w:val="18"/>
          <w:lang w:val="es-ES"/>
        </w:rPr>
        <w:t xml:space="preserve">    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</w:t>
      </w:r>
      <w:r w:rsidR="00AB61F9">
        <w:rPr>
          <w:rFonts w:ascii="Arial" w:hAnsi="Arial" w:cs="Arial"/>
          <w:sz w:val="18"/>
          <w:szCs w:val="18"/>
          <w:lang w:val="es-ES"/>
        </w:rPr>
        <w:t xml:space="preserve">          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$</w:t>
      </w:r>
      <w:r w:rsidR="00AB61F9">
        <w:rPr>
          <w:rFonts w:ascii="Arial" w:hAnsi="Arial" w:cs="Arial"/>
          <w:sz w:val="18"/>
          <w:szCs w:val="18"/>
          <w:lang w:val="es-ES"/>
        </w:rPr>
        <w:t>0.00</w:t>
      </w:r>
    </w:p>
    <w:p w:rsidR="0034748D" w:rsidRPr="00FD1B1D" w:rsidRDefault="0034748D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Ley de ingresos devengada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   </w:t>
      </w:r>
      <w:r w:rsidR="00A95C05" w:rsidRPr="00FD1B1D">
        <w:rPr>
          <w:rFonts w:ascii="Arial" w:hAnsi="Arial" w:cs="Arial"/>
          <w:sz w:val="18"/>
          <w:szCs w:val="18"/>
          <w:lang w:val="es-ES"/>
        </w:rPr>
        <w:t xml:space="preserve">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  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4442FE">
        <w:rPr>
          <w:rFonts w:ascii="Arial" w:hAnsi="Arial" w:cs="Arial"/>
          <w:sz w:val="18"/>
          <w:szCs w:val="18"/>
          <w:lang w:val="es-ES"/>
        </w:rPr>
        <w:t>6,180,624.08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Ley de ingresos recaudada            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</w:t>
      </w:r>
      <w:r w:rsidR="00BF4A79">
        <w:rPr>
          <w:rFonts w:ascii="Arial" w:hAnsi="Arial" w:cs="Arial"/>
          <w:sz w:val="18"/>
          <w:szCs w:val="18"/>
          <w:lang w:val="es-ES"/>
        </w:rPr>
        <w:t xml:space="preserve">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</w:t>
      </w:r>
      <w:r w:rsidR="00E069A6">
        <w:rPr>
          <w:rFonts w:ascii="Arial" w:hAnsi="Arial" w:cs="Arial"/>
          <w:sz w:val="18"/>
          <w:szCs w:val="18"/>
          <w:lang w:val="es-ES"/>
        </w:rPr>
        <w:t xml:space="preserve">     </w:t>
      </w:r>
      <w:r w:rsidR="004442FE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4442FE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4442FE">
        <w:rPr>
          <w:rFonts w:ascii="Arial" w:hAnsi="Arial" w:cs="Arial"/>
          <w:sz w:val="18"/>
          <w:szCs w:val="18"/>
          <w:lang w:val="es-ES"/>
        </w:rPr>
        <w:t>180,624</w:t>
      </w:r>
      <w:r w:rsidR="007A0832">
        <w:rPr>
          <w:rFonts w:ascii="Arial" w:hAnsi="Arial" w:cs="Arial"/>
          <w:sz w:val="18"/>
          <w:szCs w:val="18"/>
          <w:lang w:val="es-ES"/>
        </w:rPr>
        <w:t>.</w:t>
      </w:r>
      <w:r w:rsidR="004442FE">
        <w:rPr>
          <w:rFonts w:ascii="Arial" w:hAnsi="Arial" w:cs="Arial"/>
          <w:sz w:val="18"/>
          <w:szCs w:val="18"/>
          <w:lang w:val="es-ES"/>
        </w:rPr>
        <w:t>08</w:t>
      </w:r>
    </w:p>
    <w:p w:rsidR="00775DCA" w:rsidRPr="00FD1B1D" w:rsidRDefault="00775DCA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926AEA" w:rsidRPr="00FD1B1D" w:rsidRDefault="00A95C05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b/>
          <w:sz w:val="18"/>
          <w:szCs w:val="18"/>
          <w:lang w:val="es-ES"/>
        </w:rPr>
        <w:t>2.- Cuentas de egresos:</w:t>
      </w:r>
    </w:p>
    <w:p w:rsidR="00A95C05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aprobado 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E069A6">
        <w:rPr>
          <w:rFonts w:ascii="Arial" w:hAnsi="Arial" w:cs="Arial"/>
          <w:sz w:val="18"/>
          <w:szCs w:val="18"/>
          <w:lang w:val="es-ES"/>
        </w:rPr>
        <w:t>1</w:t>
      </w:r>
      <w:r w:rsidR="007A0832">
        <w:rPr>
          <w:rFonts w:ascii="Arial" w:hAnsi="Arial" w:cs="Arial"/>
          <w:sz w:val="18"/>
          <w:szCs w:val="18"/>
          <w:lang w:val="es-ES"/>
        </w:rPr>
        <w:t>0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E069A6">
        <w:rPr>
          <w:rFonts w:ascii="Arial" w:hAnsi="Arial" w:cs="Arial"/>
          <w:sz w:val="18"/>
          <w:szCs w:val="18"/>
          <w:lang w:val="es-ES"/>
        </w:rPr>
        <w:t>908,593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E069A6">
        <w:rPr>
          <w:rFonts w:ascii="Arial" w:hAnsi="Arial" w:cs="Arial"/>
          <w:sz w:val="18"/>
          <w:szCs w:val="18"/>
          <w:lang w:val="es-ES"/>
        </w:rPr>
        <w:t>18</w:t>
      </w:r>
    </w:p>
    <w:p w:rsidR="00E069A6" w:rsidRDefault="00E069A6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>Presupuesto de egresos por ejercer</w:t>
      </w:r>
      <w:r w:rsidR="00336B93">
        <w:rPr>
          <w:rFonts w:ascii="Arial" w:hAnsi="Arial" w:cs="Arial"/>
          <w:sz w:val="18"/>
          <w:szCs w:val="18"/>
          <w:lang w:val="es-ES"/>
        </w:rPr>
        <w:t xml:space="preserve">                                   $4,579,736.35</w:t>
      </w:r>
    </w:p>
    <w:p w:rsidR="00D951D8" w:rsidRPr="00FD1B1D" w:rsidRDefault="00336B93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Presupuesto de egreso modificado                                                   </w:t>
      </w:r>
      <w:r w:rsidR="001B41FD">
        <w:rPr>
          <w:rFonts w:ascii="Arial" w:hAnsi="Arial" w:cs="Arial"/>
          <w:sz w:val="18"/>
          <w:szCs w:val="18"/>
          <w:lang w:val="es-ES"/>
        </w:rPr>
        <w:t>$</w:t>
      </w:r>
      <w:r>
        <w:rPr>
          <w:rFonts w:ascii="Arial" w:hAnsi="Arial" w:cs="Arial"/>
          <w:sz w:val="18"/>
          <w:szCs w:val="18"/>
          <w:lang w:val="es-ES"/>
        </w:rPr>
        <w:t>0.00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comprometido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8A4B1B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328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856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8A4B1B">
        <w:rPr>
          <w:rFonts w:ascii="Arial" w:hAnsi="Arial" w:cs="Arial"/>
          <w:sz w:val="18"/>
          <w:szCs w:val="18"/>
          <w:lang w:val="es-ES"/>
        </w:rPr>
        <w:t>83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devengado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$</w:t>
      </w:r>
      <w:r w:rsidR="008A4B1B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328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856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8A4B1B">
        <w:rPr>
          <w:rFonts w:ascii="Arial" w:hAnsi="Arial" w:cs="Arial"/>
          <w:sz w:val="18"/>
          <w:szCs w:val="18"/>
          <w:lang w:val="es-ES"/>
        </w:rPr>
        <w:t>83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ejercido 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8A4B1B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328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856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8A4B1B">
        <w:rPr>
          <w:rFonts w:ascii="Arial" w:hAnsi="Arial" w:cs="Arial"/>
          <w:sz w:val="18"/>
          <w:szCs w:val="18"/>
          <w:lang w:val="es-ES"/>
        </w:rPr>
        <w:t>83</w:t>
      </w:r>
    </w:p>
    <w:p w:rsidR="00A95C05" w:rsidRPr="00FD1B1D" w:rsidRDefault="00A95C05" w:rsidP="00D9649C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Presupuesto de egresos pagado         </w:t>
      </w:r>
      <w:r w:rsidR="00D951D8">
        <w:rPr>
          <w:rFonts w:ascii="Arial" w:hAnsi="Arial" w:cs="Arial"/>
          <w:sz w:val="18"/>
          <w:szCs w:val="18"/>
          <w:lang w:val="es-ES"/>
        </w:rPr>
        <w:t xml:space="preserve">                 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   </w:t>
      </w:r>
      <w:r w:rsidR="003D0464">
        <w:rPr>
          <w:rFonts w:ascii="Arial" w:hAnsi="Arial" w:cs="Arial"/>
          <w:sz w:val="18"/>
          <w:szCs w:val="18"/>
          <w:lang w:val="es-ES"/>
        </w:rPr>
        <w:t xml:space="preserve">      </w:t>
      </w:r>
      <w:r w:rsidR="008A4B1B">
        <w:rPr>
          <w:rFonts w:ascii="Arial" w:hAnsi="Arial" w:cs="Arial"/>
          <w:sz w:val="18"/>
          <w:szCs w:val="18"/>
          <w:lang w:val="es-ES"/>
        </w:rPr>
        <w:t xml:space="preserve">   </w:t>
      </w:r>
      <w:r w:rsidRPr="00FD1B1D">
        <w:rPr>
          <w:rFonts w:ascii="Arial" w:hAnsi="Arial" w:cs="Arial"/>
          <w:sz w:val="18"/>
          <w:szCs w:val="18"/>
          <w:lang w:val="es-ES"/>
        </w:rPr>
        <w:t>$</w:t>
      </w:r>
      <w:r w:rsidR="008A4B1B">
        <w:rPr>
          <w:rFonts w:ascii="Arial" w:hAnsi="Arial" w:cs="Arial"/>
          <w:sz w:val="18"/>
          <w:szCs w:val="18"/>
          <w:lang w:val="es-ES"/>
        </w:rPr>
        <w:t>6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328</w:t>
      </w:r>
      <w:r w:rsidRPr="00FD1B1D">
        <w:rPr>
          <w:rFonts w:ascii="Arial" w:hAnsi="Arial" w:cs="Arial"/>
          <w:sz w:val="18"/>
          <w:szCs w:val="18"/>
          <w:lang w:val="es-ES"/>
        </w:rPr>
        <w:t>,</w:t>
      </w:r>
      <w:r w:rsidR="008A4B1B">
        <w:rPr>
          <w:rFonts w:ascii="Arial" w:hAnsi="Arial" w:cs="Arial"/>
          <w:sz w:val="18"/>
          <w:szCs w:val="18"/>
          <w:lang w:val="es-ES"/>
        </w:rPr>
        <w:t>856</w:t>
      </w:r>
      <w:r w:rsidRPr="00FD1B1D">
        <w:rPr>
          <w:rFonts w:ascii="Arial" w:hAnsi="Arial" w:cs="Arial"/>
          <w:sz w:val="18"/>
          <w:szCs w:val="18"/>
          <w:lang w:val="es-ES"/>
        </w:rPr>
        <w:t>.</w:t>
      </w:r>
      <w:r w:rsidR="008A4B1B">
        <w:rPr>
          <w:rFonts w:ascii="Arial" w:hAnsi="Arial" w:cs="Arial"/>
          <w:sz w:val="18"/>
          <w:szCs w:val="18"/>
          <w:lang w:val="es-ES"/>
        </w:rPr>
        <w:t>83</w:t>
      </w:r>
    </w:p>
    <w:p w:rsidR="00E069A6" w:rsidRDefault="00E069A6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6C4C0D" w:rsidRPr="00FD1B1D" w:rsidRDefault="00F11A31" w:rsidP="00D9649C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C</w:t>
      </w:r>
      <w:r w:rsidR="00F84533" w:rsidRPr="00FD1B1D">
        <w:rPr>
          <w:rFonts w:ascii="Arial" w:hAnsi="Arial" w:cs="Arial"/>
          <w:b/>
          <w:sz w:val="18"/>
          <w:szCs w:val="18"/>
          <w:lang w:val="es-ES"/>
        </w:rPr>
        <w:t>) NOTAS DE GESTIÓN ADMINISTRATIVA</w:t>
      </w:r>
      <w:r w:rsidR="006C4C0D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</w:p>
    <w:p w:rsidR="007C0F78" w:rsidRPr="00FD1B1D" w:rsidRDefault="007C0F78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1. Introducción</w:t>
      </w:r>
    </w:p>
    <w:p w:rsidR="00AD367A" w:rsidRDefault="00245D80" w:rsidP="00EF4231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Los estados financieros </w:t>
      </w:r>
      <w:r w:rsidR="003E33D2">
        <w:rPr>
          <w:rFonts w:ascii="Arial" w:hAnsi="Arial" w:cs="Arial"/>
          <w:sz w:val="18"/>
          <w:szCs w:val="18"/>
          <w:lang w:val="es-ES"/>
        </w:rPr>
        <w:t>presupuestales y patrimoniales incluyen la información suficiente para mostrar amplia y claramente la situación financiera, presupuestal y patrimonial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  <w:r w:rsidR="00AD367A">
        <w:rPr>
          <w:rFonts w:ascii="Arial" w:hAnsi="Arial" w:cs="Arial"/>
          <w:sz w:val="18"/>
          <w:szCs w:val="18"/>
          <w:lang w:val="es-ES"/>
        </w:rPr>
        <w:t>conforme</w:t>
      </w:r>
      <w:r>
        <w:rPr>
          <w:rFonts w:ascii="Arial" w:hAnsi="Arial" w:cs="Arial"/>
          <w:sz w:val="18"/>
          <w:szCs w:val="18"/>
          <w:lang w:val="es-ES"/>
        </w:rPr>
        <w:t xml:space="preserve"> a lo </w:t>
      </w:r>
      <w:r w:rsidR="00AD367A">
        <w:rPr>
          <w:rFonts w:ascii="Arial" w:hAnsi="Arial" w:cs="Arial"/>
          <w:sz w:val="18"/>
          <w:szCs w:val="18"/>
          <w:lang w:val="es-ES"/>
        </w:rPr>
        <w:t>establecido</w:t>
      </w:r>
      <w:r>
        <w:rPr>
          <w:rFonts w:ascii="Arial" w:hAnsi="Arial" w:cs="Arial"/>
          <w:sz w:val="18"/>
          <w:szCs w:val="18"/>
          <w:lang w:val="es-ES"/>
        </w:rPr>
        <w:t xml:space="preserve"> en la Ley General de Contabilidad Gubernamental y las disposiciones emitidas por el Consejo Nacional de Armonización Contable (CONAC), </w:t>
      </w:r>
      <w:r w:rsidR="003E33D2">
        <w:rPr>
          <w:rFonts w:ascii="Arial" w:hAnsi="Arial" w:cs="Arial"/>
          <w:sz w:val="18"/>
          <w:szCs w:val="18"/>
          <w:lang w:val="es-ES"/>
        </w:rPr>
        <w:t>quien es el órgano de coordinación para la armonización de la contabilidad gubernamental</w:t>
      </w:r>
      <w:r w:rsidR="00AD367A">
        <w:rPr>
          <w:rFonts w:ascii="Arial" w:hAnsi="Arial" w:cs="Arial"/>
          <w:sz w:val="18"/>
          <w:szCs w:val="18"/>
          <w:lang w:val="es-ES"/>
        </w:rPr>
        <w:t xml:space="preserve">. </w:t>
      </w:r>
    </w:p>
    <w:p w:rsidR="00B717D2" w:rsidRPr="00FD1B1D" w:rsidRDefault="00CC2262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2. Panorama Económico y Financiero</w:t>
      </w:r>
    </w:p>
    <w:p w:rsidR="00C06E37" w:rsidRDefault="00C06E37" w:rsidP="00816424">
      <w:pPr>
        <w:spacing w:before="120"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B23B0">
        <w:rPr>
          <w:rFonts w:ascii="Arial" w:hAnsi="Arial" w:cs="Arial"/>
          <w:sz w:val="18"/>
          <w:szCs w:val="18"/>
          <w:lang w:val="es-ES"/>
        </w:rPr>
        <w:t>P</w:t>
      </w:r>
      <w:r w:rsidR="0048270B" w:rsidRPr="00FD1B1D">
        <w:rPr>
          <w:rFonts w:ascii="Arial" w:hAnsi="Arial" w:cs="Arial"/>
          <w:sz w:val="18"/>
          <w:szCs w:val="18"/>
          <w:lang w:val="es-ES"/>
        </w:rPr>
        <w:t>rograma</w:t>
      </w:r>
      <w:r w:rsidR="004B23B0">
        <w:rPr>
          <w:rFonts w:ascii="Arial" w:hAnsi="Arial" w:cs="Arial"/>
          <w:sz w:val="18"/>
          <w:szCs w:val="18"/>
          <w:lang w:val="es-ES"/>
        </w:rPr>
        <w:t xml:space="preserve"> Nacional </w:t>
      </w:r>
      <w:r w:rsidR="0048270B" w:rsidRPr="00FD1B1D">
        <w:rPr>
          <w:rFonts w:ascii="Arial" w:hAnsi="Arial" w:cs="Arial"/>
          <w:sz w:val="18"/>
          <w:szCs w:val="18"/>
          <w:lang w:val="es-ES"/>
        </w:rPr>
        <w:t>de Becas</w:t>
      </w:r>
      <w:r w:rsidR="004B23B0">
        <w:rPr>
          <w:rFonts w:ascii="Arial" w:hAnsi="Arial" w:cs="Arial"/>
          <w:sz w:val="18"/>
          <w:szCs w:val="18"/>
          <w:lang w:val="es-ES"/>
        </w:rPr>
        <w:t xml:space="preserve"> para la Educación Superior en su modalidad</w:t>
      </w:r>
      <w:r w:rsidR="0048270B" w:rsidRPr="00FD1B1D">
        <w:rPr>
          <w:rFonts w:ascii="Arial" w:hAnsi="Arial" w:cs="Arial"/>
          <w:sz w:val="18"/>
          <w:szCs w:val="18"/>
          <w:lang w:val="es-ES"/>
        </w:rPr>
        <w:t xml:space="preserve"> Manutención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, </w:t>
      </w:r>
      <w:r w:rsidR="00734B65">
        <w:rPr>
          <w:rFonts w:ascii="Arial" w:hAnsi="Arial" w:cs="Arial"/>
          <w:sz w:val="18"/>
          <w:szCs w:val="18"/>
          <w:lang w:val="es-ES"/>
        </w:rPr>
        <w:t>desde</w:t>
      </w:r>
      <w:r w:rsidR="00832BDF">
        <w:rPr>
          <w:rFonts w:ascii="Arial" w:hAnsi="Arial" w:cs="Arial"/>
          <w:sz w:val="18"/>
          <w:szCs w:val="18"/>
          <w:lang w:val="es-ES"/>
        </w:rPr>
        <w:t xml:space="preserve"> su origen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opera </w:t>
      </w:r>
      <w:r w:rsidR="00671AAE" w:rsidRPr="00FD1B1D">
        <w:rPr>
          <w:rFonts w:ascii="Arial" w:hAnsi="Arial" w:cs="Arial"/>
          <w:sz w:val="18"/>
          <w:szCs w:val="18"/>
          <w:lang w:val="es-ES"/>
        </w:rPr>
        <w:t>con ingresos</w:t>
      </w:r>
      <w:r w:rsidR="00724139" w:rsidRPr="00FD1B1D">
        <w:rPr>
          <w:rFonts w:ascii="Arial" w:hAnsi="Arial" w:cs="Arial"/>
          <w:sz w:val="18"/>
          <w:szCs w:val="18"/>
          <w:lang w:val="es-ES"/>
        </w:rPr>
        <w:t xml:space="preserve"> recaudados de subsidios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fede</w:t>
      </w:r>
      <w:r w:rsidR="00724139" w:rsidRPr="00FD1B1D">
        <w:rPr>
          <w:rFonts w:ascii="Arial" w:hAnsi="Arial" w:cs="Arial"/>
          <w:sz w:val="18"/>
          <w:szCs w:val="18"/>
          <w:lang w:val="es-ES"/>
        </w:rPr>
        <w:t>rales,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24139" w:rsidRPr="00FD1B1D">
        <w:rPr>
          <w:rFonts w:ascii="Arial" w:hAnsi="Arial" w:cs="Arial"/>
          <w:sz w:val="18"/>
          <w:szCs w:val="18"/>
          <w:lang w:val="es-ES"/>
        </w:rPr>
        <w:t>estatales, y rendimientos</w:t>
      </w:r>
      <w:r w:rsidR="00CC6228">
        <w:rPr>
          <w:rFonts w:ascii="Arial" w:hAnsi="Arial" w:cs="Arial"/>
          <w:sz w:val="18"/>
          <w:szCs w:val="18"/>
          <w:lang w:val="es-ES"/>
        </w:rPr>
        <w:t xml:space="preserve"> financieros</w:t>
      </w:r>
      <w:r w:rsidR="00724139" w:rsidRPr="00FD1B1D">
        <w:rPr>
          <w:rFonts w:ascii="Arial" w:hAnsi="Arial" w:cs="Arial"/>
          <w:sz w:val="18"/>
          <w:szCs w:val="18"/>
          <w:lang w:val="es-ES"/>
        </w:rPr>
        <w:t xml:space="preserve"> generados por la inversión de estos recursos en el ejercicio, los remanentes originados al cierre de ejercicio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24139" w:rsidRPr="00FD1B1D">
        <w:rPr>
          <w:rFonts w:ascii="Arial" w:hAnsi="Arial" w:cs="Arial"/>
          <w:sz w:val="18"/>
          <w:szCs w:val="18"/>
          <w:lang w:val="es-ES"/>
        </w:rPr>
        <w:t>son destinados al objeto social del programa que es pagar becas a los alumnos inscritos en las diferentes Instituciones Públicas de Educación Superior del Estado de Nayarit</w:t>
      </w:r>
      <w:r w:rsidR="00965BA6" w:rsidRPr="00FD1B1D">
        <w:rPr>
          <w:rFonts w:ascii="Arial" w:hAnsi="Arial" w:cs="Arial"/>
          <w:sz w:val="18"/>
          <w:szCs w:val="18"/>
          <w:lang w:val="es-ES"/>
        </w:rPr>
        <w:t xml:space="preserve">. </w:t>
      </w:r>
      <w:r w:rsidR="00CC6228">
        <w:rPr>
          <w:rFonts w:ascii="Arial" w:hAnsi="Arial" w:cs="Arial"/>
          <w:sz w:val="18"/>
          <w:szCs w:val="18"/>
          <w:lang w:val="es-ES"/>
        </w:rPr>
        <w:t>Sin embargo</w:t>
      </w:r>
      <w:r w:rsidR="00205284">
        <w:rPr>
          <w:rFonts w:ascii="Arial" w:hAnsi="Arial" w:cs="Arial"/>
          <w:sz w:val="18"/>
          <w:szCs w:val="18"/>
          <w:lang w:val="es-ES"/>
        </w:rPr>
        <w:t xml:space="preserve">, en ejercicio fiscal que se reporta </w:t>
      </w:r>
      <w:r w:rsidR="00CC6228">
        <w:rPr>
          <w:rFonts w:ascii="Arial" w:hAnsi="Arial" w:cs="Arial"/>
          <w:sz w:val="18"/>
          <w:szCs w:val="18"/>
          <w:lang w:val="es-ES"/>
        </w:rPr>
        <w:t>la federación ya no ministró recursos económicos para seguir apoyando</w:t>
      </w:r>
      <w:r w:rsidR="00816424">
        <w:rPr>
          <w:rFonts w:ascii="Arial" w:hAnsi="Arial" w:cs="Arial"/>
          <w:sz w:val="18"/>
          <w:szCs w:val="18"/>
          <w:lang w:val="es-ES"/>
        </w:rPr>
        <w:t xml:space="preserve"> a jóvenes mediante otorgamiento de becas, informando que las convocatorias serán operadas directamente por la federación.</w:t>
      </w:r>
    </w:p>
    <w:p w:rsidR="00816424" w:rsidRDefault="00816424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965BA6" w:rsidRPr="00FD1B1D" w:rsidRDefault="00FB0A2A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3. Autorización e Historia</w:t>
      </w:r>
    </w:p>
    <w:p w:rsidR="00D112A7" w:rsidRPr="00FD1B1D" w:rsidRDefault="00D112A7" w:rsidP="00D93BB1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7C4990" w:rsidRPr="00FD1B1D" w:rsidRDefault="007C4990" w:rsidP="007F006D">
      <w:p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</w:t>
      </w:r>
      <w:r w:rsidR="0080220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Fecha de creación del ente.-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El </w:t>
      </w:r>
      <w:r w:rsidR="0080220F" w:rsidRPr="00FD1B1D">
        <w:rPr>
          <w:rFonts w:ascii="Arial" w:hAnsi="Arial" w:cs="Arial"/>
          <w:sz w:val="18"/>
          <w:szCs w:val="18"/>
          <w:lang w:val="es-ES"/>
        </w:rPr>
        <w:t xml:space="preserve">Programa </w:t>
      </w:r>
      <w:r w:rsidR="00BC2E6D">
        <w:rPr>
          <w:rFonts w:ascii="Arial" w:hAnsi="Arial" w:cs="Arial"/>
          <w:sz w:val="18"/>
          <w:szCs w:val="18"/>
          <w:lang w:val="es-ES"/>
        </w:rPr>
        <w:t xml:space="preserve">Nacional </w:t>
      </w:r>
      <w:r w:rsidR="0080220F" w:rsidRPr="00FD1B1D">
        <w:rPr>
          <w:rFonts w:ascii="Arial" w:hAnsi="Arial" w:cs="Arial"/>
          <w:sz w:val="18"/>
          <w:szCs w:val="18"/>
          <w:lang w:val="es-ES"/>
        </w:rPr>
        <w:t>de Becas para la Educación Superior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 fue creado en </w:t>
      </w:r>
      <w:r w:rsidR="007F006D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el Estado de Nayarit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en mayo del 2001.</w:t>
      </w:r>
    </w:p>
    <w:p w:rsidR="00AE5E60" w:rsidRPr="00FD1B1D" w:rsidRDefault="00AE5E60" w:rsidP="007F006D">
      <w:pPr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</w:p>
    <w:p w:rsidR="007C4990" w:rsidRPr="00FD1B1D" w:rsidRDefault="007C4990" w:rsidP="00D93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b)</w:t>
      </w:r>
      <w:r w:rsidR="0080220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Principales cambios en su estructura.-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BE2D45" w:rsidRPr="00FD1B1D">
        <w:rPr>
          <w:rFonts w:ascii="Arial" w:hAnsi="Arial" w:cs="Arial"/>
          <w:sz w:val="18"/>
          <w:szCs w:val="18"/>
          <w:lang w:val="es-ES"/>
        </w:rPr>
        <w:t>En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 el transcurso de la operación del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 xml:space="preserve">programa desde su creación </w:t>
      </w:r>
    </w:p>
    <w:p w:rsidR="00FB0A2A" w:rsidRPr="00FD1B1D" w:rsidRDefault="0080220F" w:rsidP="00D93BB1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no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B0A2A" w:rsidRPr="00FD1B1D">
        <w:rPr>
          <w:rFonts w:ascii="Arial" w:hAnsi="Arial" w:cs="Arial"/>
          <w:sz w:val="18"/>
          <w:szCs w:val="18"/>
          <w:lang w:val="es-ES"/>
        </w:rPr>
        <w:t>ha habido cambios en su estructura.</w:t>
      </w:r>
    </w:p>
    <w:p w:rsidR="009523CE" w:rsidRDefault="009523CE" w:rsidP="00EF4231">
      <w:pPr>
        <w:spacing w:before="120"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4. Organización y Objeto Social</w:t>
      </w:r>
    </w:p>
    <w:p w:rsidR="00F14048" w:rsidRDefault="003A2F35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D1598A">
        <w:rPr>
          <w:rFonts w:ascii="Arial" w:hAnsi="Arial" w:cs="Arial"/>
          <w:sz w:val="18"/>
          <w:szCs w:val="18"/>
          <w:lang w:val="es-ES"/>
        </w:rPr>
        <w:t xml:space="preserve">a) </w:t>
      </w:r>
      <w:r w:rsidR="007C4990" w:rsidRPr="00D1598A">
        <w:rPr>
          <w:rFonts w:ascii="Arial" w:hAnsi="Arial" w:cs="Arial"/>
          <w:sz w:val="18"/>
          <w:szCs w:val="18"/>
          <w:lang w:val="es-ES"/>
        </w:rPr>
        <w:t>Objeto social.-</w:t>
      </w:r>
      <w:r w:rsidR="007C4990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E4EF9" w:rsidRPr="00FD1B1D">
        <w:rPr>
          <w:rFonts w:ascii="Arial" w:hAnsi="Arial" w:cs="Arial"/>
          <w:sz w:val="18"/>
          <w:szCs w:val="18"/>
          <w:lang w:val="es-ES"/>
        </w:rPr>
        <w:t>E</w:t>
      </w:r>
      <w:r w:rsidR="001A4CA4" w:rsidRPr="00FD1B1D">
        <w:rPr>
          <w:rFonts w:ascii="Arial" w:hAnsi="Arial" w:cs="Arial"/>
          <w:sz w:val="18"/>
          <w:szCs w:val="18"/>
          <w:lang w:val="es-ES"/>
        </w:rPr>
        <w:t>ste programa es creado con la finalidad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 de fomentar en la entidad que un mayor número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14048">
        <w:rPr>
          <w:rFonts w:ascii="Arial" w:hAnsi="Arial" w:cs="Arial"/>
          <w:sz w:val="18"/>
          <w:szCs w:val="18"/>
          <w:lang w:val="es-ES"/>
        </w:rPr>
        <w:t xml:space="preserve">de </w:t>
      </w:r>
    </w:p>
    <w:p w:rsidR="00F14048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estudiantes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en condiciones económicas adversas tengan acceso a los servicios de educación superior y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terminen </w:t>
      </w:r>
      <w:r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F14048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oportunamente sus estudios, de conformidad con lo establecido por “Las Reglas de Operación” y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0311D" w:rsidRPr="00FD1B1D">
        <w:rPr>
          <w:rFonts w:ascii="Arial" w:hAnsi="Arial" w:cs="Arial"/>
          <w:sz w:val="18"/>
          <w:szCs w:val="18"/>
          <w:lang w:val="es-ES"/>
        </w:rPr>
        <w:t xml:space="preserve">cualquier otra </w:t>
      </w:r>
    </w:p>
    <w:p w:rsidR="009523CE" w:rsidRDefault="00F14048" w:rsidP="00D1598A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0311D" w:rsidRPr="00FD1B1D">
        <w:rPr>
          <w:rFonts w:ascii="Arial" w:hAnsi="Arial" w:cs="Arial"/>
          <w:sz w:val="18"/>
          <w:szCs w:val="18"/>
          <w:lang w:val="es-ES"/>
        </w:rPr>
        <w:t>disposición.</w:t>
      </w:r>
    </w:p>
    <w:p w:rsidR="00F14048" w:rsidRPr="00FD1B1D" w:rsidRDefault="00F14048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b)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Principal actividad.-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E</w:t>
      </w:r>
      <w:r w:rsidR="00CE4EF9" w:rsidRPr="00FD1B1D">
        <w:rPr>
          <w:rFonts w:ascii="Arial" w:hAnsi="Arial" w:cs="Arial"/>
          <w:sz w:val="18"/>
          <w:szCs w:val="18"/>
          <w:lang w:val="es-ES"/>
        </w:rPr>
        <w:t>s</w:t>
      </w:r>
      <w:r w:rsidR="00CF4D63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CE4EF9" w:rsidRPr="00FD1B1D">
        <w:rPr>
          <w:rFonts w:ascii="Arial" w:hAnsi="Arial" w:cs="Arial"/>
          <w:b/>
          <w:sz w:val="18"/>
          <w:szCs w:val="18"/>
          <w:lang w:val="es-ES"/>
        </w:rPr>
        <w:t>o</w:t>
      </w:r>
      <w:r w:rsidR="00CF4D63" w:rsidRPr="00FD1B1D">
        <w:rPr>
          <w:rFonts w:ascii="Arial" w:hAnsi="Arial" w:cs="Arial"/>
          <w:sz w:val="18"/>
          <w:szCs w:val="18"/>
          <w:lang w:val="es-ES"/>
        </w:rPr>
        <w:t>torgar becas a alumnos inscritos en las diferentes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Instituciones Públicas de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55CED">
        <w:rPr>
          <w:rFonts w:ascii="Arial" w:hAnsi="Arial" w:cs="Arial"/>
          <w:sz w:val="18"/>
          <w:szCs w:val="18"/>
          <w:lang w:val="es-ES"/>
        </w:rPr>
        <w:t>Educación</w:t>
      </w:r>
    </w:p>
    <w:p w:rsidR="009877A4" w:rsidRPr="00FD1B1D" w:rsidRDefault="00F55CED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Superior del Estado de Nayarit, que se encuentran en situación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F4D63" w:rsidRPr="00FD1B1D">
        <w:rPr>
          <w:rFonts w:ascii="Arial" w:hAnsi="Arial" w:cs="Arial"/>
          <w:sz w:val="18"/>
          <w:szCs w:val="18"/>
          <w:lang w:val="es-ES"/>
        </w:rPr>
        <w:t>económica adversa.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C4990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c)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Ejercicio fiscal.-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</w:t>
      </w:r>
      <w:r w:rsidR="00DB7536" w:rsidRPr="00FD1B1D">
        <w:rPr>
          <w:rFonts w:ascii="Arial" w:hAnsi="Arial" w:cs="Arial"/>
          <w:sz w:val="18"/>
          <w:szCs w:val="18"/>
          <w:lang w:val="es-ES"/>
        </w:rPr>
        <w:t>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B7536" w:rsidRPr="00FD1B1D">
        <w:rPr>
          <w:rFonts w:ascii="Arial" w:hAnsi="Arial" w:cs="Arial"/>
          <w:sz w:val="18"/>
          <w:szCs w:val="18"/>
          <w:lang w:val="es-ES"/>
        </w:rPr>
        <w:t xml:space="preserve">presupuesto del programa opera conforme a fechas de ciclo escolar </w:t>
      </w:r>
      <w:r w:rsidR="007626BF" w:rsidRPr="00FD1B1D">
        <w:rPr>
          <w:rFonts w:ascii="Arial" w:hAnsi="Arial" w:cs="Arial"/>
          <w:sz w:val="18"/>
          <w:szCs w:val="18"/>
          <w:lang w:val="es-ES"/>
        </w:rPr>
        <w:t xml:space="preserve">(federal) y por </w:t>
      </w:r>
      <w:r w:rsidR="00AA133B">
        <w:rPr>
          <w:rFonts w:ascii="Arial" w:hAnsi="Arial" w:cs="Arial"/>
          <w:sz w:val="18"/>
          <w:szCs w:val="18"/>
          <w:lang w:val="es-ES"/>
        </w:rPr>
        <w:t>ejercicio</w:t>
      </w:r>
    </w:p>
    <w:p w:rsidR="009877A4" w:rsidRPr="00FD1B1D" w:rsidRDefault="00AA133B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24169C" w:rsidRPr="00FD1B1D">
        <w:rPr>
          <w:rFonts w:ascii="Arial" w:hAnsi="Arial" w:cs="Arial"/>
          <w:sz w:val="18"/>
          <w:szCs w:val="18"/>
          <w:lang w:val="es-ES"/>
        </w:rPr>
        <w:t>fiscal (Estatal</w:t>
      </w:r>
      <w:r w:rsidR="007626BF" w:rsidRPr="00FD1B1D">
        <w:rPr>
          <w:rFonts w:ascii="Arial" w:hAnsi="Arial" w:cs="Arial"/>
          <w:sz w:val="18"/>
          <w:szCs w:val="18"/>
          <w:lang w:val="es-ES"/>
        </w:rPr>
        <w:t>)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C3F20" w:rsidRDefault="007C499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d)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 xml:space="preserve">Régimen jurídico.-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Este ente se apega los lineamientos de</w:t>
      </w:r>
      <w:r w:rsidR="007626BF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Reglas de Operación, Convenio de</w:t>
      </w:r>
      <w:r w:rsidR="000C3F20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Coordinación,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C3F20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CA455B" w:rsidRPr="00FD1B1D" w:rsidRDefault="000C3F20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 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Convenio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7626BF" w:rsidRPr="00FD1B1D">
        <w:rPr>
          <w:rFonts w:ascii="Arial" w:hAnsi="Arial" w:cs="Arial"/>
          <w:sz w:val="18"/>
          <w:szCs w:val="18"/>
          <w:lang w:val="es-ES"/>
        </w:rPr>
        <w:t>Fiduciario</w:t>
      </w:r>
      <w:r w:rsidR="00CA455B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9877A4" w:rsidRPr="00FD1B1D" w:rsidRDefault="009877A4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Pr="00FD1B1D" w:rsidRDefault="00CA455B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e)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Consideraciones fiscales del ente.-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D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esde su origen y constitución se define como una Entidad con fines </w:t>
      </w:r>
    </w:p>
    <w:p w:rsidR="00792592" w:rsidRPr="00FD1B1D" w:rsidRDefault="00792592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681A9B" w:rsidRPr="00FD1B1D">
        <w:rPr>
          <w:rFonts w:ascii="Arial" w:hAnsi="Arial" w:cs="Arial"/>
          <w:sz w:val="18"/>
          <w:szCs w:val="18"/>
          <w:lang w:val="es-ES"/>
        </w:rPr>
        <w:t>n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o lucrativos, </w:t>
      </w:r>
      <w:r w:rsidR="00681A9B" w:rsidRPr="00FD1B1D">
        <w:rPr>
          <w:rFonts w:ascii="Arial" w:hAnsi="Arial" w:cs="Arial"/>
          <w:sz w:val="18"/>
          <w:szCs w:val="18"/>
          <w:lang w:val="es-ES"/>
        </w:rPr>
        <w:t>n</w:t>
      </w:r>
      <w:r w:rsidR="005E4E14" w:rsidRPr="00FD1B1D">
        <w:rPr>
          <w:rFonts w:ascii="Arial" w:hAnsi="Arial" w:cs="Arial"/>
          <w:sz w:val="18"/>
          <w:szCs w:val="18"/>
          <w:lang w:val="es-ES"/>
        </w:rPr>
        <w:t>o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sujeto al</w:t>
      </w:r>
      <w:r w:rsidR="007C499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 xml:space="preserve">Impuesto Sobre la Renta, y al Impuesto al Valor Agregado, en un principio por ser </w:t>
      </w:r>
    </w:p>
    <w:p w:rsidR="005E4E14" w:rsidRPr="00FD1B1D" w:rsidRDefault="00792592" w:rsidP="00F14048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este un</w:t>
      </w:r>
      <w:r w:rsidR="00CA455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E4E14" w:rsidRPr="00FD1B1D">
        <w:rPr>
          <w:rFonts w:ascii="Arial" w:hAnsi="Arial" w:cs="Arial"/>
          <w:sz w:val="18"/>
          <w:szCs w:val="18"/>
          <w:lang w:val="es-ES"/>
        </w:rPr>
        <w:t>programa social dependiente de la Secretaría de Educación Pública.</w:t>
      </w:r>
    </w:p>
    <w:p w:rsidR="00152491" w:rsidRPr="00FD1B1D" w:rsidRDefault="00152491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92592" w:rsidRPr="00FD1B1D" w:rsidRDefault="00393F63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f)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</w:t>
      </w:r>
      <w:r w:rsidR="005901F0" w:rsidRPr="00FD1B1D">
        <w:rPr>
          <w:rFonts w:ascii="Arial" w:hAnsi="Arial" w:cs="Arial"/>
          <w:sz w:val="18"/>
          <w:szCs w:val="18"/>
          <w:lang w:val="es-ES"/>
        </w:rPr>
        <w:t>s</w:t>
      </w:r>
      <w:r w:rsidR="002A7614" w:rsidRPr="00FD1B1D">
        <w:rPr>
          <w:rFonts w:ascii="Arial" w:hAnsi="Arial" w:cs="Arial"/>
          <w:sz w:val="18"/>
          <w:szCs w:val="18"/>
          <w:lang w:val="es-ES"/>
        </w:rPr>
        <w:t>tructura organizacional básica.</w:t>
      </w:r>
      <w:r w:rsidRPr="00FD1B1D">
        <w:rPr>
          <w:rFonts w:ascii="Arial" w:hAnsi="Arial" w:cs="Arial"/>
          <w:sz w:val="18"/>
          <w:szCs w:val="18"/>
          <w:lang w:val="es-ES"/>
        </w:rPr>
        <w:t>-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2A7614" w:rsidRPr="00FD1B1D">
        <w:rPr>
          <w:rFonts w:ascii="Arial" w:hAnsi="Arial" w:cs="Arial"/>
          <w:sz w:val="18"/>
          <w:szCs w:val="18"/>
          <w:lang w:val="es-ES"/>
        </w:rPr>
        <w:t>Este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ente está constituido por un Comité Técnico,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en el cual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participan</w:t>
      </w:r>
    </w:p>
    <w:p w:rsidR="00792592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con voz y voto en la toma de</w:t>
      </w:r>
      <w:r w:rsidR="00393F63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decisiones dentro de las sesiones de Comité</w:t>
      </w:r>
      <w:r w:rsidR="004725DA" w:rsidRPr="00FD1B1D">
        <w:rPr>
          <w:rFonts w:ascii="Arial" w:hAnsi="Arial" w:cs="Arial"/>
          <w:sz w:val="18"/>
          <w:szCs w:val="18"/>
          <w:lang w:val="es-ES"/>
        </w:rPr>
        <w:t>, dicho Comité está co</w:t>
      </w:r>
      <w:r w:rsidR="005901F0" w:rsidRPr="00FD1B1D">
        <w:rPr>
          <w:rFonts w:ascii="Arial" w:hAnsi="Arial" w:cs="Arial"/>
          <w:sz w:val="18"/>
          <w:szCs w:val="18"/>
          <w:lang w:val="es-ES"/>
        </w:rPr>
        <w:t>nformado</w:t>
      </w:r>
    </w:p>
    <w:p w:rsidR="00792592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por el titular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 la Secretaría de Educación, un representante del Gobierno del Estado, un representante de</w:t>
      </w:r>
    </w:p>
    <w:p w:rsidR="00792592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2A761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la Secretaría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de Educación Pública, un representante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de la Secretaría de la Contraloría General y un</w:t>
      </w:r>
      <w:r w:rsidR="00EB2248">
        <w:rPr>
          <w:rFonts w:ascii="Arial" w:hAnsi="Arial" w:cs="Arial"/>
          <w:sz w:val="18"/>
          <w:szCs w:val="18"/>
          <w:lang w:val="es-ES"/>
        </w:rPr>
        <w:t xml:space="preserve"> representante</w:t>
      </w:r>
    </w:p>
    <w:p w:rsidR="005901F0" w:rsidRPr="00FD1B1D" w:rsidRDefault="00EB2248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>
        <w:rPr>
          <w:rFonts w:ascii="Arial" w:hAnsi="Arial" w:cs="Arial"/>
          <w:sz w:val="18"/>
          <w:szCs w:val="18"/>
          <w:lang w:val="es-ES"/>
        </w:rPr>
        <w:t xml:space="preserve">  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>de cada una de las Instituciones Públicas de Educación Superior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901F0" w:rsidRPr="00FD1B1D">
        <w:rPr>
          <w:rFonts w:ascii="Arial" w:hAnsi="Arial" w:cs="Arial"/>
          <w:sz w:val="18"/>
          <w:szCs w:val="18"/>
          <w:lang w:val="es-ES"/>
        </w:rPr>
        <w:t xml:space="preserve">del Estado de Nayarit. 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4725DA" w:rsidRPr="00FD1B1D" w:rsidRDefault="00393F63" w:rsidP="00C83BB5">
      <w:pPr>
        <w:tabs>
          <w:tab w:val="left" w:pos="284"/>
          <w:tab w:val="left" w:pos="567"/>
        </w:tabs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g)</w:t>
      </w:r>
      <w:r w:rsidR="003A2F3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Fideicomiso</w:t>
      </w:r>
      <w:r w:rsidR="001907E6">
        <w:rPr>
          <w:rFonts w:ascii="Arial" w:hAnsi="Arial" w:cs="Arial"/>
          <w:sz w:val="18"/>
          <w:szCs w:val="18"/>
          <w:lang w:val="es-ES"/>
        </w:rPr>
        <w:t>.- F</w:t>
      </w:r>
      <w:r w:rsidR="004725DA" w:rsidRPr="00FD1B1D">
        <w:rPr>
          <w:rFonts w:ascii="Arial" w:hAnsi="Arial" w:cs="Arial"/>
          <w:sz w:val="18"/>
          <w:szCs w:val="18"/>
          <w:lang w:val="es-ES"/>
        </w:rPr>
        <w:t>ormado</w:t>
      </w:r>
      <w:r w:rsidR="000A6E9B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 xml:space="preserve">por un Fideicomitente: Gobierno del Estado Libre y </w:t>
      </w:r>
      <w:r w:rsidR="000A6E9B" w:rsidRPr="00FD1B1D">
        <w:rPr>
          <w:rFonts w:ascii="Arial" w:hAnsi="Arial" w:cs="Arial"/>
          <w:sz w:val="18"/>
          <w:szCs w:val="18"/>
          <w:lang w:val="es-ES"/>
        </w:rPr>
        <w:t>Soberano de Nayarit,</w:t>
      </w:r>
      <w:r w:rsidR="0050078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A6E9B" w:rsidRPr="00FD1B1D">
        <w:rPr>
          <w:rFonts w:ascii="Arial" w:hAnsi="Arial" w:cs="Arial"/>
          <w:sz w:val="18"/>
          <w:szCs w:val="18"/>
          <w:lang w:val="es-ES"/>
        </w:rPr>
        <w:t>Fiduciario</w:t>
      </w:r>
      <w:r w:rsidR="00500785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83BB5">
        <w:rPr>
          <w:rFonts w:ascii="Arial" w:hAnsi="Arial" w:cs="Arial"/>
          <w:sz w:val="18"/>
          <w:szCs w:val="18"/>
          <w:lang w:val="es-ES"/>
        </w:rPr>
        <w:t xml:space="preserve">           </w:t>
      </w:r>
      <w:r w:rsidR="00C83BB5">
        <w:rPr>
          <w:rFonts w:ascii="Arial" w:hAnsi="Arial" w:cs="Arial"/>
          <w:sz w:val="18"/>
          <w:szCs w:val="18"/>
          <w:lang w:val="es-ES"/>
        </w:rPr>
        <w:tab/>
      </w:r>
      <w:r w:rsidR="004725DA" w:rsidRPr="00FD1B1D">
        <w:rPr>
          <w:rFonts w:ascii="Arial" w:hAnsi="Arial" w:cs="Arial"/>
          <w:sz w:val="18"/>
          <w:szCs w:val="18"/>
          <w:lang w:val="es-ES"/>
        </w:rPr>
        <w:t>Institución</w:t>
      </w:r>
      <w:r w:rsidR="001907E6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Bancaria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BBVA Bancomer,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4725DA" w:rsidRPr="00FD1B1D">
        <w:rPr>
          <w:rFonts w:ascii="Arial" w:hAnsi="Arial" w:cs="Arial"/>
          <w:sz w:val="18"/>
          <w:szCs w:val="18"/>
          <w:lang w:val="es-ES"/>
        </w:rPr>
        <w:t>S.A.</w:t>
      </w:r>
    </w:p>
    <w:p w:rsidR="001A4CA4" w:rsidRPr="00FD1B1D" w:rsidRDefault="001A4CA4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160B10" w:rsidRPr="00FD1B1D" w:rsidRDefault="00A10AD3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5. Bases de Preparación de los Estados Financieros</w:t>
      </w:r>
    </w:p>
    <w:p w:rsidR="00160B10" w:rsidRPr="00FD1B1D" w:rsidRDefault="00160B10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83BB5" w:rsidRDefault="00160B10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a) Se ha observado la normatividad emitida por el CONAC y las disposiciones legales aplicables.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</w:p>
    <w:p w:rsidR="00160B10" w:rsidRPr="00FD1B1D" w:rsidRDefault="0079259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sz w:val="18"/>
          <w:szCs w:val="18"/>
          <w:lang w:val="es-ES"/>
        </w:rPr>
        <w:t>L</w:t>
      </w:r>
      <w:r w:rsidR="00160B10" w:rsidRPr="00FD1B1D">
        <w:rPr>
          <w:rFonts w:ascii="Arial" w:hAnsi="Arial" w:cs="Arial"/>
          <w:sz w:val="18"/>
          <w:szCs w:val="18"/>
          <w:lang w:val="es-ES"/>
        </w:rPr>
        <w:t>os</w:t>
      </w:r>
      <w:r w:rsidR="00C83BB5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Estados financieros han sido preparados sobre la base de las normas contables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establecidas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 xml:space="preserve">en la Ley General de Contabilidad Gubernamental y de conformidad con los Principios de Contabilidad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60B10" w:rsidRPr="00FD1B1D">
        <w:rPr>
          <w:rFonts w:ascii="Arial" w:hAnsi="Arial" w:cs="Arial"/>
          <w:sz w:val="18"/>
          <w:szCs w:val="18"/>
          <w:lang w:val="es-ES"/>
        </w:rPr>
        <w:t>G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eneralmente Aceptados, actualmente denominados Normas de Información Financiera. Asimismo,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para el registro, control y seguimiento de operaciones</w:t>
      </w:r>
      <w:r w:rsidR="001C1717" w:rsidRPr="00FD1B1D">
        <w:rPr>
          <w:rFonts w:ascii="Arial" w:hAnsi="Arial" w:cs="Arial"/>
          <w:sz w:val="18"/>
          <w:szCs w:val="18"/>
          <w:lang w:val="es-ES"/>
        </w:rPr>
        <w:t>,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el Programa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de Becas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Nacionales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para la Educación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C1717" w:rsidRPr="00FD1B1D">
        <w:rPr>
          <w:rFonts w:ascii="Arial" w:hAnsi="Arial" w:cs="Arial"/>
          <w:sz w:val="18"/>
          <w:szCs w:val="18"/>
          <w:lang w:val="es-ES"/>
        </w:rPr>
        <w:t>Superior</w:t>
      </w:r>
      <w:r w:rsidR="002E55F6" w:rsidRPr="00FD1B1D">
        <w:rPr>
          <w:rFonts w:ascii="Arial" w:hAnsi="Arial" w:cs="Arial"/>
          <w:sz w:val="18"/>
          <w:szCs w:val="18"/>
          <w:lang w:val="es-ES"/>
        </w:rPr>
        <w:t xml:space="preserve"> en su modalidad Manutención</w:t>
      </w:r>
      <w:r w:rsidR="001C1717" w:rsidRPr="00FD1B1D">
        <w:rPr>
          <w:rFonts w:ascii="Arial" w:hAnsi="Arial" w:cs="Arial"/>
          <w:sz w:val="18"/>
          <w:szCs w:val="18"/>
          <w:lang w:val="es-ES"/>
        </w:rPr>
        <w:t>, atendiendo a indicación del Gobierno del Estado registra sus operaciones en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e</w:t>
      </w:r>
      <w:r w:rsidR="001C1717" w:rsidRPr="00FD1B1D">
        <w:rPr>
          <w:rFonts w:ascii="Arial" w:hAnsi="Arial" w:cs="Arial"/>
          <w:sz w:val="18"/>
          <w:szCs w:val="18"/>
          <w:lang w:val="es-ES"/>
        </w:rPr>
        <w:t>l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 Sistema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Automatizado de Contabilidad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Gubernamental (SACG), emitido por el INDETEC,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Instituto para el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Desarrollo Técnico de las Haciendas,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mismo que está configurado para generar la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Información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>cuantitativa en lo que respecta a identificación,</w:t>
      </w:r>
      <w:r w:rsidR="001C1717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11515C" w:rsidRPr="00FD1B1D">
        <w:rPr>
          <w:rFonts w:ascii="Arial" w:hAnsi="Arial" w:cs="Arial"/>
          <w:sz w:val="18"/>
          <w:szCs w:val="18"/>
          <w:lang w:val="es-ES"/>
        </w:rPr>
        <w:t xml:space="preserve">análisis, integración, clasificación y </w:t>
      </w:r>
      <w:r w:rsidR="001C1717" w:rsidRPr="00FD1B1D">
        <w:rPr>
          <w:rFonts w:ascii="Arial" w:hAnsi="Arial" w:cs="Arial"/>
          <w:sz w:val="18"/>
          <w:szCs w:val="18"/>
          <w:lang w:val="es-ES"/>
        </w:rPr>
        <w:t>registro.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F12887" w:rsidRPr="00FD1B1D" w:rsidRDefault="001C171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b)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La normatividad aplicada para el reconocimiento, valuación y revelación de los diferentes rubros de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la información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 xml:space="preserve"> financiera, así como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>las bases de medición utilizadas para la elaboración de los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="00AD6FFB" w:rsidRPr="00FD1B1D">
        <w:rPr>
          <w:rFonts w:ascii="Arial" w:hAnsi="Arial" w:cs="Arial"/>
          <w:b/>
          <w:sz w:val="18"/>
          <w:szCs w:val="18"/>
          <w:lang w:val="es-ES"/>
        </w:rPr>
        <w:t>E</w:t>
      </w:r>
      <w:r w:rsidR="00D601AD" w:rsidRPr="00FD1B1D">
        <w:rPr>
          <w:rFonts w:ascii="Arial" w:hAnsi="Arial" w:cs="Arial"/>
          <w:b/>
          <w:sz w:val="18"/>
          <w:szCs w:val="18"/>
          <w:lang w:val="es-ES"/>
        </w:rPr>
        <w:t xml:space="preserve">stados financieros.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Los Estados financieros están preparados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601AD" w:rsidRPr="00FD1B1D">
        <w:rPr>
          <w:rFonts w:ascii="Arial" w:hAnsi="Arial" w:cs="Arial"/>
          <w:sz w:val="18"/>
          <w:szCs w:val="18"/>
          <w:lang w:val="es-ES"/>
        </w:rPr>
        <w:t>sobre la base</w:t>
      </w:r>
      <w:r w:rsidR="00CB7CDE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D601AD" w:rsidRPr="00FD1B1D">
        <w:rPr>
          <w:rFonts w:ascii="Arial" w:hAnsi="Arial" w:cs="Arial"/>
          <w:sz w:val="18"/>
          <w:szCs w:val="18"/>
          <w:lang w:val="es-ES"/>
        </w:rPr>
        <w:t>de valor histórico original</w:t>
      </w:r>
      <w:r w:rsidR="00CB7CDE" w:rsidRPr="00FD1B1D">
        <w:rPr>
          <w:rFonts w:ascii="Arial" w:hAnsi="Arial" w:cs="Arial"/>
          <w:sz w:val="18"/>
          <w:szCs w:val="18"/>
          <w:lang w:val="es-ES"/>
        </w:rPr>
        <w:t>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ya que por ser una institución con fines no lucrativos, no está obligada a reconocer los efectos de la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CB7CDE" w:rsidRPr="00FD1B1D">
        <w:rPr>
          <w:rFonts w:ascii="Arial" w:hAnsi="Arial" w:cs="Arial"/>
          <w:sz w:val="18"/>
          <w:szCs w:val="18"/>
          <w:lang w:val="es-ES"/>
        </w:rPr>
        <w:t>inflación</w:t>
      </w:r>
      <w:r w:rsidR="0055561D" w:rsidRPr="00FD1B1D">
        <w:rPr>
          <w:rFonts w:ascii="Arial" w:hAnsi="Arial" w:cs="Arial"/>
          <w:sz w:val="18"/>
          <w:szCs w:val="18"/>
          <w:lang w:val="es-ES"/>
        </w:rPr>
        <w:t xml:space="preserve"> en la información financiera. Se reconoce el activo permanente en el instante y momento en que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55561D" w:rsidRPr="00FD1B1D">
        <w:rPr>
          <w:rFonts w:ascii="Arial" w:hAnsi="Arial" w:cs="Arial"/>
          <w:sz w:val="18"/>
          <w:szCs w:val="18"/>
          <w:lang w:val="es-ES"/>
        </w:rPr>
        <w:t>se adquiere, el activo fijo se reconoce contablemente como un bien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 hasta el momento de la entrega formal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del mismo, se registra como una adquisición tal inversión para que </w:t>
      </w:r>
      <w:r w:rsidR="007F6F76">
        <w:rPr>
          <w:rFonts w:ascii="Arial" w:hAnsi="Arial" w:cs="Arial"/>
          <w:sz w:val="18"/>
          <w:szCs w:val="18"/>
          <w:lang w:val="es-ES"/>
        </w:rPr>
        <w:t>l</w:t>
      </w:r>
      <w:r w:rsidR="000D0925" w:rsidRPr="00FD1B1D">
        <w:rPr>
          <w:rFonts w:ascii="Arial" w:hAnsi="Arial" w:cs="Arial"/>
          <w:sz w:val="18"/>
          <w:szCs w:val="18"/>
          <w:lang w:val="es-ES"/>
        </w:rPr>
        <w:t xml:space="preserve">a información refleje en el ejercicio la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0D0925" w:rsidRPr="00FD1B1D">
        <w:rPr>
          <w:rFonts w:ascii="Arial" w:hAnsi="Arial" w:cs="Arial"/>
          <w:sz w:val="18"/>
          <w:szCs w:val="18"/>
          <w:lang w:val="es-ES"/>
        </w:rPr>
        <w:t>partida presupuestal autorizada, y en tal virtud, se registran las depreciaciones del mismo activo.</w:t>
      </w:r>
      <w:r w:rsidR="000C2021">
        <w:rPr>
          <w:rFonts w:ascii="Arial" w:hAnsi="Arial" w:cs="Arial"/>
          <w:sz w:val="18"/>
          <w:szCs w:val="18"/>
          <w:lang w:val="es-ES"/>
        </w:rPr>
        <w:t xml:space="preserve"> Las inversiones en valores de inmediata realización se valúan a valor de mercado, reconociendo los intereses como ingresos del período en que se devengan.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0D0925" w:rsidRPr="00FD1B1D" w:rsidRDefault="000D0925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c)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Postulados Básicos.- </w:t>
      </w:r>
      <w:r w:rsidR="00740422" w:rsidRPr="00FD1B1D">
        <w:rPr>
          <w:rFonts w:ascii="Arial" w:hAnsi="Arial" w:cs="Arial"/>
          <w:sz w:val="18"/>
          <w:szCs w:val="18"/>
          <w:lang w:val="es-ES"/>
        </w:rPr>
        <w:t xml:space="preserve">Este ente aplica los principios básicos de </w:t>
      </w:r>
      <w:r w:rsidR="00454F09" w:rsidRPr="00FD1B1D">
        <w:rPr>
          <w:rFonts w:ascii="Arial" w:hAnsi="Arial" w:cs="Arial"/>
          <w:sz w:val="18"/>
          <w:szCs w:val="18"/>
          <w:lang w:val="es-ES"/>
        </w:rPr>
        <w:t>contabilidad</w:t>
      </w:r>
      <w:r w:rsidR="00740422" w:rsidRPr="00FD1B1D">
        <w:rPr>
          <w:rFonts w:ascii="Arial" w:hAnsi="Arial" w:cs="Arial"/>
          <w:sz w:val="18"/>
          <w:szCs w:val="18"/>
          <w:lang w:val="es-ES"/>
        </w:rPr>
        <w:t xml:space="preserve"> Gubernamental</w:t>
      </w:r>
      <w:r w:rsidR="002E55F6" w:rsidRPr="00FD1B1D">
        <w:rPr>
          <w:rFonts w:ascii="Arial" w:hAnsi="Arial" w:cs="Arial"/>
          <w:sz w:val="18"/>
          <w:szCs w:val="18"/>
          <w:lang w:val="es-ES"/>
        </w:rPr>
        <w:t>.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740422" w:rsidRPr="00FD1B1D" w:rsidRDefault="0074042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d)</w:t>
      </w:r>
      <w:r w:rsidR="009877A4" w:rsidRPr="00FD1B1D">
        <w:rPr>
          <w:rFonts w:ascii="Arial" w:hAnsi="Arial" w:cs="Arial"/>
          <w:b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b/>
          <w:sz w:val="18"/>
          <w:szCs w:val="18"/>
          <w:lang w:val="es-ES"/>
        </w:rPr>
        <w:t>Normativ</w:t>
      </w:r>
      <w:r w:rsidR="003F128D" w:rsidRPr="00FD1B1D">
        <w:rPr>
          <w:rFonts w:ascii="Arial" w:hAnsi="Arial" w:cs="Arial"/>
          <w:b/>
          <w:sz w:val="18"/>
          <w:szCs w:val="18"/>
          <w:lang w:val="es-ES"/>
        </w:rPr>
        <w:t>idad</w:t>
      </w:r>
      <w:r w:rsidRPr="00FD1B1D">
        <w:rPr>
          <w:rFonts w:ascii="Arial" w:hAnsi="Arial" w:cs="Arial"/>
          <w:b/>
          <w:sz w:val="18"/>
          <w:szCs w:val="18"/>
          <w:lang w:val="es-ES"/>
        </w:rPr>
        <w:t xml:space="preserve"> supletoria.- </w:t>
      </w:r>
      <w:r w:rsidR="00B777FE" w:rsidRPr="00FD1B1D">
        <w:rPr>
          <w:rFonts w:ascii="Arial" w:hAnsi="Arial" w:cs="Arial"/>
          <w:sz w:val="18"/>
          <w:szCs w:val="18"/>
          <w:lang w:val="es-ES"/>
        </w:rPr>
        <w:t>No aplica</w:t>
      </w:r>
    </w:p>
    <w:p w:rsidR="00F12887" w:rsidRPr="00FD1B1D" w:rsidRDefault="00F12887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2B4DE8" w:rsidRPr="00FD1B1D" w:rsidRDefault="007D701D" w:rsidP="00747F2E">
      <w:pPr>
        <w:tabs>
          <w:tab w:val="left" w:pos="284"/>
        </w:tabs>
        <w:spacing w:after="0" w:line="240" w:lineRule="auto"/>
        <w:ind w:left="142" w:hanging="142"/>
        <w:jc w:val="both"/>
        <w:rPr>
          <w:rFonts w:ascii="Arial" w:hAnsi="Arial" w:cs="Arial"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e)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Pr="00FD1B1D">
        <w:rPr>
          <w:rFonts w:ascii="Arial" w:hAnsi="Arial" w:cs="Arial"/>
          <w:sz w:val="18"/>
          <w:szCs w:val="18"/>
          <w:lang w:val="es-ES"/>
        </w:rPr>
        <w:t>Para las entidades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 que por primera vez estén implementando la base devengado de acuerdo a la Ley de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Contabilidad, deberán</w:t>
      </w:r>
      <w:r w:rsidR="004C0952" w:rsidRPr="00FD1B1D">
        <w:rPr>
          <w:rFonts w:ascii="Arial" w:hAnsi="Arial" w:cs="Arial"/>
          <w:sz w:val="18"/>
          <w:szCs w:val="18"/>
          <w:lang w:val="es-ES"/>
        </w:rPr>
        <w:t>: Este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D330E" w:rsidRPr="00FD1B1D">
        <w:rPr>
          <w:rFonts w:ascii="Arial" w:hAnsi="Arial" w:cs="Arial"/>
          <w:sz w:val="18"/>
          <w:szCs w:val="18"/>
          <w:lang w:val="es-ES"/>
        </w:rPr>
        <w:t>e</w:t>
      </w:r>
      <w:r w:rsidR="003F3D8A" w:rsidRPr="00FD1B1D">
        <w:rPr>
          <w:rFonts w:ascii="Arial" w:hAnsi="Arial" w:cs="Arial"/>
          <w:sz w:val="18"/>
          <w:szCs w:val="18"/>
          <w:lang w:val="es-ES"/>
        </w:rPr>
        <w:t>nte utiliza</w:t>
      </w:r>
      <w:r w:rsidR="00CB6685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el Sistema Automatizado de Contabilidad Gubernamental,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Implementado por el Instituto para el Desarrollo Técnico de las Haciendas reconocido por la SHCP,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por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FE7495" w:rsidRPr="00FD1B1D">
        <w:rPr>
          <w:rFonts w:ascii="Arial" w:hAnsi="Arial" w:cs="Arial"/>
          <w:sz w:val="18"/>
          <w:szCs w:val="18"/>
          <w:lang w:val="es-ES"/>
        </w:rPr>
        <w:t>l</w:t>
      </w:r>
      <w:r w:rsidR="003F3D8A" w:rsidRPr="00FD1B1D">
        <w:rPr>
          <w:rFonts w:ascii="Arial" w:hAnsi="Arial" w:cs="Arial"/>
          <w:sz w:val="18"/>
          <w:szCs w:val="18"/>
          <w:lang w:val="es-ES"/>
        </w:rPr>
        <w:t>o que está configurado para cumplir con la normatividad establecida en la Ley General de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 xml:space="preserve">Contabilidad </w:t>
      </w:r>
      <w:r w:rsidR="009877A4" w:rsidRPr="00FD1B1D">
        <w:rPr>
          <w:rFonts w:ascii="Arial" w:hAnsi="Arial" w:cs="Arial"/>
          <w:sz w:val="18"/>
          <w:szCs w:val="18"/>
          <w:lang w:val="es-ES"/>
        </w:rPr>
        <w:t xml:space="preserve"> </w:t>
      </w:r>
      <w:r w:rsidR="003F3D8A" w:rsidRPr="00FD1B1D">
        <w:rPr>
          <w:rFonts w:ascii="Arial" w:hAnsi="Arial" w:cs="Arial"/>
          <w:sz w:val="18"/>
          <w:szCs w:val="18"/>
          <w:lang w:val="es-ES"/>
        </w:rPr>
        <w:t>Gubernamental.</w:t>
      </w:r>
    </w:p>
    <w:p w:rsidR="002B4DE8" w:rsidRPr="00FD1B1D" w:rsidRDefault="002B4DE8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5C4580" w:rsidRPr="00FD1B1D" w:rsidRDefault="002B4DE8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  <w:r w:rsidRPr="00FD1B1D">
        <w:rPr>
          <w:rFonts w:ascii="Arial" w:hAnsi="Arial" w:cs="Arial"/>
          <w:b/>
          <w:sz w:val="18"/>
          <w:szCs w:val="18"/>
          <w:lang w:val="es-ES"/>
        </w:rPr>
        <w:t>6. Políticas de Contabilidad Significativas:</w:t>
      </w:r>
    </w:p>
    <w:p w:rsidR="005B6069" w:rsidRPr="00FD1B1D" w:rsidRDefault="002B4DE8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  <w:lang w:val="es-ES"/>
        </w:rPr>
        <w:t>a) Actualización:</w:t>
      </w:r>
      <w:r w:rsidRPr="00FD1B1D">
        <w:rPr>
          <w:b/>
          <w:sz w:val="18"/>
          <w:szCs w:val="18"/>
          <w:lang w:val="es-ES"/>
        </w:rPr>
        <w:t xml:space="preserve"> </w:t>
      </w:r>
      <w:r w:rsidRPr="00FD1B1D">
        <w:rPr>
          <w:sz w:val="18"/>
          <w:szCs w:val="18"/>
          <w:lang w:val="es-ES"/>
        </w:rPr>
        <w:t>este Ente</w:t>
      </w:r>
      <w:r w:rsidR="008C7D4E" w:rsidRPr="00FD1B1D">
        <w:rPr>
          <w:sz w:val="18"/>
          <w:szCs w:val="18"/>
          <w:lang w:val="es-ES"/>
        </w:rPr>
        <w:t xml:space="preserve"> aplica el </w:t>
      </w:r>
      <w:r w:rsidR="003F3D8A" w:rsidRPr="00FD1B1D">
        <w:rPr>
          <w:b/>
          <w:sz w:val="18"/>
          <w:szCs w:val="18"/>
          <w:lang w:val="es-ES"/>
        </w:rPr>
        <w:t xml:space="preserve"> </w:t>
      </w:r>
      <w:r w:rsidR="008C7D4E" w:rsidRPr="00FD1B1D">
        <w:rPr>
          <w:bCs/>
          <w:sz w:val="18"/>
          <w:szCs w:val="18"/>
        </w:rPr>
        <w:t>Acuerdo por el que se reforman y adicionan las Reglas</w:t>
      </w:r>
      <w:r w:rsidR="009877A4" w:rsidRPr="00FD1B1D">
        <w:rPr>
          <w:bCs/>
          <w:sz w:val="18"/>
          <w:szCs w:val="18"/>
        </w:rPr>
        <w:t xml:space="preserve">  </w:t>
      </w:r>
      <w:r w:rsidR="008C7D4E" w:rsidRPr="00FD1B1D">
        <w:rPr>
          <w:bCs/>
          <w:sz w:val="18"/>
          <w:szCs w:val="18"/>
        </w:rPr>
        <w:t>Específicas del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Registro y Valoración del Patrimonio, publicado en el Diario Oficial de la Federación el día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24</w:t>
      </w:r>
      <w:r w:rsidR="009877A4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>de</w:t>
      </w:r>
      <w:r w:rsidR="00AA0E98" w:rsidRPr="00FD1B1D">
        <w:rPr>
          <w:bCs/>
          <w:sz w:val="18"/>
          <w:szCs w:val="18"/>
        </w:rPr>
        <w:t xml:space="preserve"> </w:t>
      </w:r>
      <w:r w:rsidR="008C7D4E" w:rsidRPr="00FD1B1D">
        <w:rPr>
          <w:bCs/>
          <w:sz w:val="18"/>
          <w:szCs w:val="18"/>
        </w:rPr>
        <w:t xml:space="preserve">septiembre de 2014, numeral </w:t>
      </w:r>
      <w:r w:rsidR="005B6069" w:rsidRPr="00FD1B1D">
        <w:rPr>
          <w:bCs/>
          <w:sz w:val="18"/>
          <w:szCs w:val="18"/>
        </w:rPr>
        <w:t>14. Actualización de la Hacienda Pública / Patrimonio</w:t>
      </w:r>
      <w:r w:rsidR="008C7D4E" w:rsidRPr="00FD1B1D">
        <w:rPr>
          <w:bCs/>
          <w:sz w:val="18"/>
          <w:szCs w:val="18"/>
        </w:rPr>
        <w:t xml:space="preserve">.- </w:t>
      </w:r>
      <w:r w:rsidR="005B6069" w:rsidRPr="00FD1B1D">
        <w:rPr>
          <w:sz w:val="18"/>
          <w:szCs w:val="18"/>
        </w:rPr>
        <w:t>Atendiendo a la</w:t>
      </w:r>
      <w:r w:rsidR="009877A4" w:rsidRPr="00FD1B1D">
        <w:rPr>
          <w:sz w:val="18"/>
          <w:szCs w:val="18"/>
        </w:rPr>
        <w:t xml:space="preserve">  </w:t>
      </w:r>
      <w:r w:rsidR="005B6069" w:rsidRPr="00FD1B1D">
        <w:rPr>
          <w:sz w:val="18"/>
          <w:szCs w:val="18"/>
        </w:rPr>
        <w:t xml:space="preserve">Norma Internacional de Contabilidad del Sector Público (NICS 10-Información Financiera en Economías </w:t>
      </w:r>
      <w:r w:rsidR="009877A4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>Hiperinflacionarias), se</w:t>
      </w:r>
      <w:r w:rsidR="008C7D4E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>deberá actualizar el patrimonio cuando el Índice Nacional de Precios al Consumidor</w:t>
      </w:r>
      <w:r w:rsidR="009877A4" w:rsidRPr="00FD1B1D">
        <w:rPr>
          <w:sz w:val="18"/>
          <w:szCs w:val="18"/>
        </w:rPr>
        <w:t xml:space="preserve"> </w:t>
      </w:r>
      <w:r w:rsidR="005B6069" w:rsidRPr="00FD1B1D">
        <w:rPr>
          <w:sz w:val="18"/>
          <w:szCs w:val="18"/>
        </w:rPr>
        <w:t xml:space="preserve">acumulada durante un periodo de tres años sea igual o superior al 100%. 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D423BD" w:rsidRPr="00FD1B1D" w:rsidRDefault="00905A5C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 Informar sobre la realización de operaciones en el extranjero.-</w:t>
      </w:r>
      <w:r w:rsidRPr="00FD1B1D">
        <w:rPr>
          <w:b/>
          <w:sz w:val="18"/>
          <w:szCs w:val="18"/>
        </w:rPr>
        <w:t xml:space="preserve"> </w:t>
      </w:r>
      <w:r w:rsidR="0024794B" w:rsidRPr="00FD1B1D">
        <w:rPr>
          <w:b/>
          <w:sz w:val="18"/>
          <w:szCs w:val="18"/>
        </w:rPr>
        <w:t>E</w:t>
      </w:r>
      <w:r w:rsidRPr="00FD1B1D">
        <w:rPr>
          <w:sz w:val="18"/>
          <w:szCs w:val="18"/>
        </w:rPr>
        <w:t xml:space="preserve">ste </w:t>
      </w:r>
      <w:r w:rsidR="0024794B" w:rsidRPr="00FD1B1D">
        <w:rPr>
          <w:sz w:val="18"/>
          <w:szCs w:val="18"/>
        </w:rPr>
        <w:t>e</w:t>
      </w:r>
      <w:r w:rsidRPr="00FD1B1D">
        <w:rPr>
          <w:sz w:val="18"/>
          <w:szCs w:val="18"/>
        </w:rPr>
        <w:t xml:space="preserve">nte no realiza operaciones en el </w:t>
      </w:r>
      <w:r w:rsidR="006055C6">
        <w:rPr>
          <w:sz w:val="18"/>
          <w:szCs w:val="18"/>
        </w:rPr>
        <w:t>extranjero</w:t>
      </w:r>
      <w:r w:rsidR="009877A4" w:rsidRPr="00FD1B1D">
        <w:rPr>
          <w:sz w:val="18"/>
          <w:szCs w:val="18"/>
        </w:rPr>
        <w:t xml:space="preserve"> </w:t>
      </w:r>
    </w:p>
    <w:p w:rsidR="00905A5C" w:rsidRPr="00FD1B1D" w:rsidRDefault="00D423BD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  <w:r w:rsidR="00905A5C" w:rsidRPr="00FD1B1D">
        <w:rPr>
          <w:sz w:val="18"/>
          <w:szCs w:val="18"/>
        </w:rPr>
        <w:t>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Default="00905A5C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 Método de valuación de la inversión</w:t>
      </w:r>
      <w:r w:rsidR="009877A4" w:rsidRPr="00FD1B1D">
        <w:rPr>
          <w:sz w:val="18"/>
          <w:szCs w:val="18"/>
        </w:rPr>
        <w:t xml:space="preserve"> </w:t>
      </w:r>
      <w:r w:rsidR="00E2082F" w:rsidRPr="00FD1B1D">
        <w:rPr>
          <w:sz w:val="18"/>
          <w:szCs w:val="18"/>
        </w:rPr>
        <w:t>en acciones en el Sector Paraestatal.- Este ente no invierte acciones</w:t>
      </w:r>
      <w:r w:rsidR="00152491" w:rsidRPr="00FD1B1D">
        <w:rPr>
          <w:sz w:val="18"/>
          <w:szCs w:val="18"/>
        </w:rPr>
        <w:t>.</w:t>
      </w:r>
      <w:r w:rsidR="001927E8">
        <w:rPr>
          <w:sz w:val="18"/>
          <w:szCs w:val="18"/>
        </w:rPr>
        <w:t xml:space="preserve"> No </w:t>
      </w:r>
    </w:p>
    <w:p w:rsidR="001927E8" w:rsidRPr="00FD1B1D" w:rsidRDefault="001927E8" w:rsidP="00747F2E">
      <w:pPr>
        <w:pStyle w:val="Default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 Aplica.</w:t>
      </w:r>
    </w:p>
    <w:p w:rsidR="00F12887" w:rsidRPr="00FD1B1D" w:rsidRDefault="00F31347" w:rsidP="00F31347">
      <w:pPr>
        <w:pStyle w:val="Default"/>
        <w:ind w:firstLine="142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</w:t>
      </w:r>
    </w:p>
    <w:p w:rsidR="00E2082F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Sistema y método de valua</w:t>
      </w:r>
      <w:r w:rsidR="00291506" w:rsidRPr="00FD1B1D">
        <w:rPr>
          <w:sz w:val="18"/>
          <w:szCs w:val="18"/>
        </w:rPr>
        <w:t>ción de inventarios.- Este ente no tiene inventarios.</w:t>
      </w:r>
      <w:r w:rsidR="00152491" w:rsidRPr="00FD1B1D">
        <w:rPr>
          <w:sz w:val="18"/>
          <w:szCs w:val="18"/>
        </w:rPr>
        <w:t xml:space="preserve">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D423BD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e) Be</w:t>
      </w:r>
      <w:r w:rsidR="00E23F39" w:rsidRPr="00FD1B1D">
        <w:rPr>
          <w:sz w:val="18"/>
          <w:szCs w:val="18"/>
        </w:rPr>
        <w:t>neficios a empleados: Este Ente opera con trabajadores sindicalizados</w:t>
      </w:r>
      <w:r w:rsidR="00550742" w:rsidRPr="00FD1B1D">
        <w:rPr>
          <w:sz w:val="18"/>
          <w:szCs w:val="18"/>
        </w:rPr>
        <w:t xml:space="preserve"> mismos que cuentan con los </w:t>
      </w:r>
      <w:r w:rsidR="009877A4" w:rsidRPr="00FD1B1D">
        <w:rPr>
          <w:sz w:val="18"/>
          <w:szCs w:val="18"/>
        </w:rPr>
        <w:t xml:space="preserve"> </w:t>
      </w:r>
      <w:r w:rsidR="00F11A31" w:rsidRPr="00FD1B1D">
        <w:rPr>
          <w:sz w:val="18"/>
          <w:szCs w:val="18"/>
        </w:rPr>
        <w:t xml:space="preserve">  </w:t>
      </w:r>
    </w:p>
    <w:p w:rsidR="00792592" w:rsidRPr="00FD1B1D" w:rsidRDefault="00D423BD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</w:t>
      </w:r>
      <w:r w:rsidR="00F11A31" w:rsidRPr="00FD1B1D">
        <w:rPr>
          <w:sz w:val="18"/>
          <w:szCs w:val="18"/>
        </w:rPr>
        <w:t xml:space="preserve"> </w:t>
      </w:r>
    </w:p>
    <w:p w:rsidR="00550742" w:rsidRPr="00FD1B1D" w:rsidRDefault="00792592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</w:t>
      </w:r>
      <w:r w:rsidR="00F11A31" w:rsidRPr="00FD1B1D">
        <w:rPr>
          <w:sz w:val="18"/>
          <w:szCs w:val="18"/>
        </w:rPr>
        <w:t xml:space="preserve"> </w:t>
      </w:r>
      <w:r w:rsidR="00550742" w:rsidRPr="00FD1B1D">
        <w:rPr>
          <w:sz w:val="18"/>
          <w:szCs w:val="18"/>
        </w:rPr>
        <w:t>beneficios asentados en convenios colectivos laborales.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550742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f) Provisiones: Este ente no cuenta con provisiones</w:t>
      </w:r>
      <w:r w:rsidR="00152491" w:rsidRPr="00FD1B1D">
        <w:rPr>
          <w:sz w:val="18"/>
          <w:szCs w:val="18"/>
        </w:rPr>
        <w:t>.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550742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g)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Reservas.- Este ente no tiene reservas.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E2082F" w:rsidP="00747F2E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h)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Cambios en políticas </w:t>
      </w:r>
      <w:r w:rsidR="00D025FC" w:rsidRPr="00FD1B1D">
        <w:rPr>
          <w:sz w:val="18"/>
          <w:szCs w:val="18"/>
        </w:rPr>
        <w:t>con</w:t>
      </w:r>
      <w:r w:rsidRPr="00FD1B1D">
        <w:rPr>
          <w:sz w:val="18"/>
          <w:szCs w:val="18"/>
        </w:rPr>
        <w:t>tab</w:t>
      </w:r>
      <w:r w:rsidR="00F44C17" w:rsidRPr="00FD1B1D">
        <w:rPr>
          <w:sz w:val="18"/>
          <w:szCs w:val="18"/>
        </w:rPr>
        <w:t>les.-</w:t>
      </w:r>
      <w:r w:rsidR="009877A4" w:rsidRPr="00FD1B1D">
        <w:rPr>
          <w:sz w:val="18"/>
          <w:szCs w:val="18"/>
        </w:rPr>
        <w:t xml:space="preserve"> </w:t>
      </w:r>
      <w:r w:rsidR="00F44C17" w:rsidRPr="00FD1B1D">
        <w:rPr>
          <w:sz w:val="18"/>
          <w:szCs w:val="18"/>
        </w:rPr>
        <w:t>Este ente no tiene cambios en políticas contables.</w:t>
      </w:r>
      <w:r w:rsidR="00152491" w:rsidRPr="00FD1B1D">
        <w:rPr>
          <w:sz w:val="18"/>
          <w:szCs w:val="18"/>
        </w:rPr>
        <w:t xml:space="preserve"> No aplica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875173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i)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Reclasificaciones: </w:t>
      </w:r>
      <w:r w:rsidR="00F31347">
        <w:rPr>
          <w:sz w:val="18"/>
          <w:szCs w:val="18"/>
        </w:rPr>
        <w:t>este ente registra las reclasificaciones en su momento,</w:t>
      </w:r>
    </w:p>
    <w:p w:rsidR="00F31347" w:rsidRPr="00FD1B1D" w:rsidRDefault="00F31347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j)</w:t>
      </w:r>
      <w:r w:rsidR="00D23172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Depuración y cancelación de saldos.- no se realizó depuración.</w:t>
      </w:r>
      <w:r w:rsidR="00F31347">
        <w:rPr>
          <w:sz w:val="18"/>
          <w:szCs w:val="18"/>
        </w:rPr>
        <w:t xml:space="preserve"> No aplica</w:t>
      </w:r>
    </w:p>
    <w:p w:rsidR="00D423BD" w:rsidRPr="00FD1B1D" w:rsidRDefault="00D423BD" w:rsidP="009877A4">
      <w:pPr>
        <w:pStyle w:val="Default"/>
        <w:jc w:val="both"/>
        <w:rPr>
          <w:b/>
          <w:sz w:val="18"/>
          <w:szCs w:val="18"/>
        </w:rPr>
      </w:pPr>
    </w:p>
    <w:p w:rsidR="00875173" w:rsidRPr="00FD1B1D" w:rsidRDefault="00875173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7.</w:t>
      </w:r>
      <w:r w:rsidR="004C587D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>Posición en Moneda Extranjera y Protección por Riesgo Cambiario</w:t>
      </w:r>
    </w:p>
    <w:p w:rsidR="005C4580" w:rsidRPr="00FD1B1D" w:rsidRDefault="005C4580" w:rsidP="009877A4">
      <w:pPr>
        <w:pStyle w:val="Default"/>
        <w:jc w:val="both"/>
        <w:rPr>
          <w:b/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Activos en moneda extranjera.- no aplica.</w:t>
      </w:r>
    </w:p>
    <w:p w:rsidR="00BA78A9" w:rsidRPr="00FD1B1D" w:rsidRDefault="00BA78A9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 Pasivos en moneda extranjera.- no aplica.</w:t>
      </w:r>
    </w:p>
    <w:p w:rsidR="00BA78A9" w:rsidRPr="00FD1B1D" w:rsidRDefault="00BA78A9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747F2E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 Posición en moneda extranjera.- no aplica.</w:t>
      </w:r>
    </w:p>
    <w:p w:rsidR="00D112A7" w:rsidRPr="00FD1B1D" w:rsidRDefault="00D112A7" w:rsidP="00747F2E">
      <w:pPr>
        <w:pStyle w:val="Default"/>
        <w:ind w:firstLine="142"/>
        <w:jc w:val="both"/>
        <w:rPr>
          <w:sz w:val="18"/>
          <w:szCs w:val="18"/>
        </w:rPr>
      </w:pPr>
    </w:p>
    <w:p w:rsidR="00875173" w:rsidRPr="00FD1B1D" w:rsidRDefault="00875173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Tipo de cambio.- no aplica.</w:t>
      </w:r>
    </w:p>
    <w:p w:rsidR="00875173" w:rsidRPr="00FD1B1D" w:rsidRDefault="00875173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e) Equivalente en moneda nacional.- no aplica.</w:t>
      </w:r>
    </w:p>
    <w:p w:rsidR="004F07EA" w:rsidRPr="00FD1B1D" w:rsidRDefault="004F07EA" w:rsidP="009D430F">
      <w:pPr>
        <w:pStyle w:val="Default"/>
        <w:ind w:firstLine="142"/>
        <w:jc w:val="both"/>
        <w:rPr>
          <w:sz w:val="18"/>
          <w:szCs w:val="18"/>
        </w:rPr>
      </w:pPr>
    </w:p>
    <w:p w:rsidR="001D107E" w:rsidRPr="00FD1B1D" w:rsidRDefault="001D107E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8. Reporte Analítico del Activo</w:t>
      </w:r>
    </w:p>
    <w:p w:rsidR="005C4580" w:rsidRPr="00FD1B1D" w:rsidRDefault="005C4580" w:rsidP="009877A4">
      <w:pPr>
        <w:pStyle w:val="Default"/>
        <w:jc w:val="both"/>
        <w:rPr>
          <w:b/>
          <w:sz w:val="18"/>
          <w:szCs w:val="18"/>
        </w:rPr>
      </w:pPr>
    </w:p>
    <w:p w:rsidR="00BA78A9" w:rsidRPr="00FD1B1D" w:rsidRDefault="001D107E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Vida útil o porcentajes de depreciación.- este ente cuenta sólo con un activo intangible software del </w:t>
      </w:r>
    </w:p>
    <w:p w:rsidR="00792592" w:rsidRPr="00FD1B1D" w:rsidRDefault="00BA78A9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</w:p>
    <w:p w:rsidR="001D107E" w:rsidRPr="00FD1B1D" w:rsidRDefault="00792592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 </w:t>
      </w:r>
      <w:r w:rsidR="001D107E" w:rsidRPr="00FD1B1D">
        <w:rPr>
          <w:sz w:val="18"/>
          <w:szCs w:val="18"/>
        </w:rPr>
        <w:t>sistema</w:t>
      </w:r>
      <w:r w:rsidR="009877A4" w:rsidRPr="00FD1B1D">
        <w:rPr>
          <w:sz w:val="18"/>
          <w:szCs w:val="18"/>
        </w:rPr>
        <w:t xml:space="preserve"> </w:t>
      </w:r>
      <w:r w:rsidR="001D107E" w:rsidRPr="00FD1B1D">
        <w:rPr>
          <w:sz w:val="18"/>
          <w:szCs w:val="18"/>
        </w:rPr>
        <w:t>automatiza</w:t>
      </w:r>
      <w:r w:rsidR="00F44C17" w:rsidRPr="00FD1B1D">
        <w:rPr>
          <w:sz w:val="18"/>
          <w:szCs w:val="18"/>
        </w:rPr>
        <w:t>do</w:t>
      </w:r>
      <w:r w:rsidR="001D107E" w:rsidRPr="00FD1B1D">
        <w:rPr>
          <w:sz w:val="18"/>
          <w:szCs w:val="18"/>
        </w:rPr>
        <w:t xml:space="preserve"> de contabilidad gubernamental.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b)</w:t>
      </w:r>
      <w:r w:rsidR="004C587D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Cambios en el porcentaje de depreciación o valor residual de los activos.-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BA78A9" w:rsidRPr="00FD1B1D" w:rsidRDefault="001D107E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c)</w:t>
      </w:r>
      <w:r w:rsidR="00AB399C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Importe de los gastos capitalizados en el ejercicio, tanto financieros como de investigación y desarrollo.-</w:t>
      </w:r>
    </w:p>
    <w:p w:rsidR="00792592" w:rsidRPr="00FD1B1D" w:rsidRDefault="00BA78A9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  <w:r w:rsidR="004C587D" w:rsidRPr="00FD1B1D">
        <w:rPr>
          <w:sz w:val="18"/>
          <w:szCs w:val="18"/>
        </w:rPr>
        <w:t xml:space="preserve">  </w:t>
      </w:r>
    </w:p>
    <w:p w:rsidR="001D107E" w:rsidRPr="00FD1B1D" w:rsidRDefault="00792592" w:rsidP="009D430F">
      <w:pPr>
        <w:pStyle w:val="Default"/>
        <w:tabs>
          <w:tab w:val="left" w:pos="142"/>
        </w:tabs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  </w:t>
      </w:r>
      <w:r w:rsidR="004C587D" w:rsidRPr="00FD1B1D">
        <w:rPr>
          <w:sz w:val="18"/>
          <w:szCs w:val="18"/>
        </w:rPr>
        <w:t xml:space="preserve"> E</w:t>
      </w:r>
      <w:r w:rsidR="00AA0E98" w:rsidRPr="00FD1B1D">
        <w:rPr>
          <w:sz w:val="18"/>
          <w:szCs w:val="18"/>
        </w:rPr>
        <w:t>ste ente no cuenta con gastos capitalizados en el ejercicio</w:t>
      </w:r>
      <w:r w:rsidR="001D107E" w:rsidRPr="00FD1B1D">
        <w:rPr>
          <w:sz w:val="18"/>
          <w:szCs w:val="18"/>
        </w:rPr>
        <w:t>.</w:t>
      </w:r>
      <w:r w:rsidR="004C7D01" w:rsidRPr="00FD1B1D">
        <w:rPr>
          <w:sz w:val="18"/>
          <w:szCs w:val="18"/>
        </w:rPr>
        <w:t xml:space="preserve"> No aplica.</w:t>
      </w:r>
    </w:p>
    <w:p w:rsidR="00F12887" w:rsidRPr="00FD1B1D" w:rsidRDefault="00F12887" w:rsidP="009877A4">
      <w:pPr>
        <w:pStyle w:val="Default"/>
        <w:jc w:val="both"/>
        <w:rPr>
          <w:sz w:val="18"/>
          <w:szCs w:val="18"/>
        </w:rPr>
      </w:pPr>
    </w:p>
    <w:p w:rsidR="001D107E" w:rsidRPr="00FD1B1D" w:rsidRDefault="001D107E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d) Riesgos por tipo de cambio o tipo de interés de las inversiones financieras.</w:t>
      </w:r>
      <w:r w:rsidR="00AB399C" w:rsidRPr="00FD1B1D">
        <w:rPr>
          <w:sz w:val="18"/>
          <w:szCs w:val="18"/>
        </w:rPr>
        <w:t xml:space="preserve">- </w:t>
      </w:r>
      <w:r w:rsidR="008E1E12" w:rsidRPr="00FD1B1D">
        <w:rPr>
          <w:sz w:val="18"/>
          <w:szCs w:val="18"/>
        </w:rPr>
        <w:t>N</w:t>
      </w:r>
      <w:r w:rsidR="00AB399C"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e) Valor activado en el ejercicio de los bienes construidos por la entidad.- </w:t>
      </w:r>
      <w:r w:rsidR="008E1E12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f)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Otras circunstancias de carácter significativo que afecten el activo.-</w:t>
      </w:r>
      <w:r w:rsidR="009877A4" w:rsidRPr="00FD1B1D">
        <w:rPr>
          <w:sz w:val="18"/>
          <w:szCs w:val="18"/>
        </w:rPr>
        <w:t xml:space="preserve"> </w:t>
      </w:r>
      <w:r w:rsidR="008E1E12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AB399C" w:rsidRPr="00FD1B1D" w:rsidRDefault="00AB399C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g) Desmantelamiento de activos.-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4C587D" w:rsidRPr="00FD1B1D" w:rsidRDefault="004C587D" w:rsidP="009877A4">
      <w:pPr>
        <w:pStyle w:val="Default"/>
        <w:jc w:val="both"/>
        <w:rPr>
          <w:sz w:val="18"/>
          <w:szCs w:val="18"/>
        </w:rPr>
      </w:pPr>
    </w:p>
    <w:p w:rsidR="00E2082F" w:rsidRPr="00FD1B1D" w:rsidRDefault="00AB399C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h)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Administración de activos.- </w:t>
      </w:r>
      <w:r w:rsidR="00105042" w:rsidRPr="00FD1B1D">
        <w:rPr>
          <w:sz w:val="18"/>
          <w:szCs w:val="18"/>
        </w:rPr>
        <w:t>Este ente únicamente tiene un activo intangible: software sistema contable</w:t>
      </w:r>
      <w:r w:rsidRPr="00FD1B1D">
        <w:rPr>
          <w:sz w:val="18"/>
          <w:szCs w:val="18"/>
        </w:rPr>
        <w:t>.</w:t>
      </w:r>
    </w:p>
    <w:p w:rsidR="00B4324F" w:rsidRPr="00FD1B1D" w:rsidRDefault="00B4324F" w:rsidP="009D430F">
      <w:pPr>
        <w:pStyle w:val="Default"/>
        <w:ind w:left="142"/>
        <w:jc w:val="both"/>
        <w:rPr>
          <w:sz w:val="18"/>
          <w:szCs w:val="18"/>
        </w:rPr>
      </w:pPr>
    </w:p>
    <w:p w:rsidR="00AB399C" w:rsidRDefault="00AB399C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Explicaciones de las principales variaciones en el activo:</w:t>
      </w:r>
    </w:p>
    <w:p w:rsidR="00B32738" w:rsidRPr="00FD1B1D" w:rsidRDefault="00B32738" w:rsidP="009877A4">
      <w:pPr>
        <w:pStyle w:val="Default"/>
        <w:jc w:val="both"/>
        <w:rPr>
          <w:b/>
          <w:sz w:val="18"/>
          <w:szCs w:val="18"/>
        </w:rPr>
      </w:pPr>
    </w:p>
    <w:p w:rsidR="00AB399C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</w:t>
      </w:r>
      <w:r w:rsidR="00AB399C" w:rsidRPr="00FD1B1D">
        <w:rPr>
          <w:sz w:val="18"/>
          <w:szCs w:val="18"/>
        </w:rPr>
        <w:t>Inve</w:t>
      </w:r>
      <w:r w:rsidRPr="00FD1B1D">
        <w:rPr>
          <w:sz w:val="18"/>
          <w:szCs w:val="18"/>
        </w:rPr>
        <w:t xml:space="preserve">rsiones en valores.- las inversiones </w:t>
      </w:r>
      <w:r w:rsidR="00733ED1" w:rsidRPr="00FD1B1D">
        <w:rPr>
          <w:sz w:val="18"/>
          <w:szCs w:val="18"/>
        </w:rPr>
        <w:t xml:space="preserve">en valores de inmediata realización se valúan a valor </w:t>
      </w:r>
      <w:r w:rsidR="009877A4" w:rsidRPr="00FD1B1D">
        <w:rPr>
          <w:sz w:val="18"/>
          <w:szCs w:val="18"/>
        </w:rPr>
        <w:t xml:space="preserve"> </w:t>
      </w:r>
      <w:r w:rsidR="00733ED1" w:rsidRPr="00FD1B1D">
        <w:rPr>
          <w:sz w:val="18"/>
          <w:szCs w:val="18"/>
        </w:rPr>
        <w:t>mercado</w:t>
      </w:r>
      <w:r w:rsidR="00677607" w:rsidRPr="00FD1B1D">
        <w:rPr>
          <w:sz w:val="18"/>
          <w:szCs w:val="18"/>
        </w:rPr>
        <w:t xml:space="preserve">, </w:t>
      </w:r>
      <w:r w:rsidR="004C587D" w:rsidRPr="00FD1B1D">
        <w:rPr>
          <w:sz w:val="18"/>
          <w:szCs w:val="18"/>
        </w:rPr>
        <w:t xml:space="preserve">         </w:t>
      </w:r>
      <w:r w:rsidR="00B32738">
        <w:rPr>
          <w:sz w:val="18"/>
          <w:szCs w:val="18"/>
        </w:rPr>
        <w:t xml:space="preserve">      </w:t>
      </w:r>
      <w:r w:rsidR="00677607" w:rsidRPr="00FD1B1D">
        <w:rPr>
          <w:sz w:val="18"/>
          <w:szCs w:val="18"/>
        </w:rPr>
        <w:t>reconociendo los intereses como ingresos del período en que se devengan</w:t>
      </w:r>
      <w:r w:rsidRPr="00FD1B1D">
        <w:rPr>
          <w:sz w:val="18"/>
          <w:szCs w:val="18"/>
        </w:rPr>
        <w:t>.</w:t>
      </w:r>
    </w:p>
    <w:p w:rsidR="00A30D3D" w:rsidRDefault="00A30D3D" w:rsidP="009D430F">
      <w:pPr>
        <w:pStyle w:val="Default"/>
        <w:ind w:firstLine="142"/>
        <w:jc w:val="both"/>
        <w:rPr>
          <w:sz w:val="18"/>
          <w:szCs w:val="18"/>
        </w:rPr>
      </w:pPr>
    </w:p>
    <w:p w:rsidR="001F6490" w:rsidRPr="00FD1B1D" w:rsidRDefault="001F6490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Patrimonio de organismos </w:t>
      </w:r>
      <w:r w:rsidR="00A30D3D" w:rsidRPr="00FD1B1D">
        <w:rPr>
          <w:sz w:val="18"/>
          <w:szCs w:val="18"/>
        </w:rPr>
        <w:t>descentralizados.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A30D3D" w:rsidRDefault="00A30D3D" w:rsidP="009D430F">
      <w:pPr>
        <w:pStyle w:val="Default"/>
        <w:ind w:left="142"/>
        <w:jc w:val="both"/>
        <w:rPr>
          <w:sz w:val="18"/>
          <w:szCs w:val="18"/>
        </w:rPr>
      </w:pPr>
    </w:p>
    <w:p w:rsidR="001F6490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c) Inversiones en empresas de participación </w:t>
      </w:r>
      <w:r w:rsidR="00A30D3D" w:rsidRPr="00FD1B1D">
        <w:rPr>
          <w:sz w:val="18"/>
          <w:szCs w:val="18"/>
        </w:rPr>
        <w:t>mayoritaria.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A30D3D" w:rsidRDefault="00A30D3D" w:rsidP="009D430F">
      <w:pPr>
        <w:pStyle w:val="Default"/>
        <w:ind w:firstLine="142"/>
        <w:jc w:val="both"/>
        <w:rPr>
          <w:sz w:val="18"/>
          <w:szCs w:val="18"/>
        </w:rPr>
      </w:pPr>
    </w:p>
    <w:p w:rsidR="00AB399C" w:rsidRPr="00FD1B1D" w:rsidRDefault="001F6490" w:rsidP="009D430F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d) Inversiones en empresas de participación </w:t>
      </w:r>
      <w:r w:rsidR="00A30D3D" w:rsidRPr="00FD1B1D">
        <w:rPr>
          <w:sz w:val="18"/>
          <w:szCs w:val="18"/>
        </w:rPr>
        <w:t>minoritaria. -</w:t>
      </w:r>
      <w:r w:rsidRPr="00FD1B1D">
        <w:rPr>
          <w:sz w:val="18"/>
          <w:szCs w:val="18"/>
        </w:rPr>
        <w:t xml:space="preserve"> </w:t>
      </w:r>
      <w:r w:rsidR="00AE3EC1" w:rsidRPr="00FD1B1D">
        <w:rPr>
          <w:sz w:val="18"/>
          <w:szCs w:val="18"/>
        </w:rPr>
        <w:t>N</w:t>
      </w:r>
      <w:r w:rsidRPr="00FD1B1D">
        <w:rPr>
          <w:sz w:val="18"/>
          <w:szCs w:val="18"/>
        </w:rPr>
        <w:t>o aplica.</w:t>
      </w:r>
    </w:p>
    <w:p w:rsidR="001F6490" w:rsidRPr="00FD1B1D" w:rsidRDefault="001F6490" w:rsidP="009877A4">
      <w:pPr>
        <w:pStyle w:val="Default"/>
        <w:jc w:val="both"/>
        <w:rPr>
          <w:sz w:val="18"/>
          <w:szCs w:val="18"/>
        </w:rPr>
      </w:pPr>
    </w:p>
    <w:p w:rsidR="005C4580" w:rsidRDefault="001F6490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>9. Fideicomisos, Mandatos y Análogos</w:t>
      </w:r>
    </w:p>
    <w:p w:rsidR="00A30D3D" w:rsidRDefault="00A30D3D" w:rsidP="009877A4">
      <w:pPr>
        <w:pStyle w:val="Default"/>
        <w:jc w:val="both"/>
        <w:rPr>
          <w:sz w:val="18"/>
          <w:szCs w:val="18"/>
        </w:rPr>
      </w:pPr>
    </w:p>
    <w:p w:rsidR="00A30D3D" w:rsidRPr="00A30D3D" w:rsidRDefault="00A30D3D" w:rsidP="009877A4">
      <w:pPr>
        <w:pStyle w:val="Default"/>
        <w:jc w:val="both"/>
        <w:rPr>
          <w:sz w:val="18"/>
          <w:szCs w:val="18"/>
        </w:rPr>
      </w:pPr>
      <w:r>
        <w:rPr>
          <w:sz w:val="18"/>
          <w:szCs w:val="18"/>
        </w:rPr>
        <w:t xml:space="preserve">   No existen fideicomisos, mandatos y contratos análogos en el ejercicio fiscal 2019</w:t>
      </w:r>
      <w:r w:rsidR="00D447C3">
        <w:rPr>
          <w:sz w:val="18"/>
          <w:szCs w:val="18"/>
        </w:rPr>
        <w:t>.</w:t>
      </w:r>
      <w:bookmarkStart w:id="0" w:name="_GoBack"/>
      <w:bookmarkEnd w:id="0"/>
    </w:p>
    <w:p w:rsidR="00F11A31" w:rsidRPr="00FD1B1D" w:rsidRDefault="00F11A31" w:rsidP="009877A4">
      <w:pPr>
        <w:pStyle w:val="Default"/>
        <w:jc w:val="both"/>
        <w:rPr>
          <w:b/>
          <w:sz w:val="18"/>
          <w:szCs w:val="18"/>
        </w:rPr>
      </w:pPr>
    </w:p>
    <w:p w:rsidR="001F6490" w:rsidRPr="00FD1B1D" w:rsidRDefault="001F649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a) Por ramo o unidad administrativa que los reporta. </w:t>
      </w:r>
      <w:r w:rsidR="00A30D3D">
        <w:rPr>
          <w:sz w:val="18"/>
          <w:szCs w:val="18"/>
        </w:rPr>
        <w:t xml:space="preserve"> No Aplica</w:t>
      </w:r>
    </w:p>
    <w:p w:rsidR="00B32738" w:rsidRDefault="00B32738" w:rsidP="009D430F">
      <w:pPr>
        <w:pStyle w:val="Default"/>
        <w:ind w:left="142"/>
        <w:jc w:val="both"/>
        <w:rPr>
          <w:sz w:val="18"/>
          <w:szCs w:val="18"/>
        </w:rPr>
      </w:pPr>
    </w:p>
    <w:p w:rsidR="00733ED1" w:rsidRPr="00FD1B1D" w:rsidRDefault="007C5C30" w:rsidP="009D430F">
      <w:pPr>
        <w:pStyle w:val="Default"/>
        <w:ind w:left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b) Enlistar los de mayor monto de </w:t>
      </w:r>
      <w:r w:rsidR="00A30D3D" w:rsidRPr="00FD1B1D">
        <w:rPr>
          <w:sz w:val="18"/>
          <w:szCs w:val="18"/>
        </w:rPr>
        <w:t>disponibilidad. -</w:t>
      </w:r>
      <w:r w:rsidR="00733ED1" w:rsidRPr="00FD1B1D">
        <w:rPr>
          <w:sz w:val="18"/>
          <w:szCs w:val="18"/>
        </w:rPr>
        <w:t xml:space="preserve"> </w:t>
      </w:r>
      <w:r w:rsidR="00A30D3D">
        <w:rPr>
          <w:sz w:val="18"/>
          <w:szCs w:val="18"/>
        </w:rPr>
        <w:t>No aplica.</w:t>
      </w:r>
    </w:p>
    <w:p w:rsidR="00733ED1" w:rsidRPr="00FD1B1D" w:rsidRDefault="00733ED1" w:rsidP="009877A4">
      <w:pPr>
        <w:pStyle w:val="Default"/>
        <w:jc w:val="both"/>
        <w:rPr>
          <w:sz w:val="18"/>
          <w:szCs w:val="18"/>
        </w:rPr>
      </w:pPr>
    </w:p>
    <w:p w:rsidR="00733ED1" w:rsidRDefault="00733ED1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lastRenderedPageBreak/>
        <w:t>10. Reporte de la Recaudación</w:t>
      </w:r>
    </w:p>
    <w:p w:rsidR="00CB6685" w:rsidRPr="00FD1B1D" w:rsidRDefault="00CB6685" w:rsidP="009877A4">
      <w:pPr>
        <w:pStyle w:val="Default"/>
        <w:jc w:val="both"/>
        <w:rPr>
          <w:sz w:val="18"/>
          <w:szCs w:val="18"/>
        </w:rPr>
      </w:pPr>
    </w:p>
    <w:p w:rsidR="00A12195" w:rsidRPr="00FD1B1D" w:rsidRDefault="00733ED1" w:rsidP="00AE5E60">
      <w:pPr>
        <w:pStyle w:val="Default"/>
        <w:ind w:firstLine="142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a) Análisis del comportamiento de la recaudación</w:t>
      </w:r>
      <w:r w:rsidR="006C1BBD" w:rsidRPr="00FD1B1D">
        <w:rPr>
          <w:sz w:val="18"/>
          <w:szCs w:val="18"/>
        </w:rPr>
        <w:t>:</w:t>
      </w:r>
    </w:p>
    <w:p w:rsidR="00286815" w:rsidRPr="00FD1B1D" w:rsidRDefault="00286815" w:rsidP="00AE5E60">
      <w:pPr>
        <w:pStyle w:val="Default"/>
        <w:ind w:firstLine="142"/>
        <w:jc w:val="both"/>
        <w:rPr>
          <w:sz w:val="18"/>
          <w:szCs w:val="18"/>
        </w:rPr>
      </w:pPr>
    </w:p>
    <w:tbl>
      <w:tblPr>
        <w:tblStyle w:val="Tablaconcuadrcula"/>
        <w:tblW w:w="0" w:type="auto"/>
        <w:tblInd w:w="526" w:type="dxa"/>
        <w:tblLook w:val="04A0"/>
      </w:tblPr>
      <w:tblGrid>
        <w:gridCol w:w="2417"/>
        <w:gridCol w:w="1540"/>
        <w:gridCol w:w="1855"/>
        <w:gridCol w:w="2000"/>
      </w:tblGrid>
      <w:tr w:rsidR="007110CD" w:rsidRPr="00FD1B1D" w:rsidTr="0051446C">
        <w:tc>
          <w:tcPr>
            <w:tcW w:w="2417" w:type="dxa"/>
            <w:shd w:val="clear" w:color="auto" w:fill="D9D9D9" w:themeFill="background1" w:themeFillShade="D9"/>
            <w:vAlign w:val="center"/>
          </w:tcPr>
          <w:p w:rsidR="007110CD" w:rsidRPr="00FD1B1D" w:rsidRDefault="0051446C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Subsidios y convenios</w:t>
            </w:r>
          </w:p>
        </w:tc>
        <w:tc>
          <w:tcPr>
            <w:tcW w:w="1540" w:type="dxa"/>
            <w:shd w:val="clear" w:color="auto" w:fill="D9D9D9" w:themeFill="background1" w:themeFillShade="D9"/>
            <w:vAlign w:val="center"/>
          </w:tcPr>
          <w:p w:rsidR="007110CD" w:rsidRPr="00FD1B1D" w:rsidRDefault="0051446C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Monto</w:t>
            </w:r>
          </w:p>
        </w:tc>
        <w:tc>
          <w:tcPr>
            <w:tcW w:w="1855" w:type="dxa"/>
            <w:shd w:val="clear" w:color="auto" w:fill="D9D9D9" w:themeFill="background1" w:themeFillShade="D9"/>
            <w:vAlign w:val="center"/>
          </w:tcPr>
          <w:p w:rsidR="007110CD" w:rsidRPr="00FD1B1D" w:rsidRDefault="005C7E14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P</w:t>
            </w:r>
            <w:r w:rsidR="0051446C" w:rsidRPr="00FD1B1D">
              <w:rPr>
                <w:b/>
                <w:sz w:val="18"/>
                <w:szCs w:val="18"/>
              </w:rPr>
              <w:t>roductos de tipo corriente</w:t>
            </w:r>
          </w:p>
        </w:tc>
        <w:tc>
          <w:tcPr>
            <w:tcW w:w="2000" w:type="dxa"/>
            <w:shd w:val="clear" w:color="auto" w:fill="D9D9D9" w:themeFill="background1" w:themeFillShade="D9"/>
            <w:vAlign w:val="center"/>
          </w:tcPr>
          <w:p w:rsidR="007110CD" w:rsidRPr="00FD1B1D" w:rsidRDefault="007110CD" w:rsidP="0051446C">
            <w:pPr>
              <w:pStyle w:val="Default"/>
              <w:jc w:val="center"/>
              <w:rPr>
                <w:b/>
                <w:sz w:val="18"/>
                <w:szCs w:val="18"/>
              </w:rPr>
            </w:pPr>
            <w:r w:rsidRPr="00FD1B1D">
              <w:rPr>
                <w:b/>
                <w:sz w:val="18"/>
                <w:szCs w:val="18"/>
              </w:rPr>
              <w:t>T</w:t>
            </w:r>
            <w:r w:rsidR="0051446C" w:rsidRPr="00FD1B1D">
              <w:rPr>
                <w:b/>
                <w:sz w:val="18"/>
                <w:szCs w:val="18"/>
              </w:rPr>
              <w:t>otal</w:t>
            </w:r>
          </w:p>
        </w:tc>
      </w:tr>
      <w:tr w:rsidR="007110CD" w:rsidRPr="00FD1B1D" w:rsidTr="004E1B0C">
        <w:trPr>
          <w:trHeight w:val="307"/>
        </w:trPr>
        <w:tc>
          <w:tcPr>
            <w:tcW w:w="2417" w:type="dxa"/>
          </w:tcPr>
          <w:p w:rsidR="007110CD" w:rsidRPr="00FD1B1D" w:rsidRDefault="0051446C" w:rsidP="0051446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>Aportación Federal</w:t>
            </w:r>
          </w:p>
        </w:tc>
        <w:tc>
          <w:tcPr>
            <w:tcW w:w="1540" w:type="dxa"/>
          </w:tcPr>
          <w:p w:rsidR="007110CD" w:rsidRPr="00FD1B1D" w:rsidRDefault="008B1A00" w:rsidP="005A1E1D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</w:t>
            </w:r>
            <w:r w:rsidR="005A1E1D">
              <w:rPr>
                <w:sz w:val="18"/>
                <w:szCs w:val="18"/>
              </w:rPr>
              <w:t xml:space="preserve">                </w:t>
            </w:r>
            <w:r w:rsidR="00D53D1F">
              <w:rPr>
                <w:sz w:val="18"/>
                <w:szCs w:val="18"/>
              </w:rPr>
              <w:t>0.00</w:t>
            </w:r>
          </w:p>
        </w:tc>
        <w:tc>
          <w:tcPr>
            <w:tcW w:w="1855" w:type="dxa"/>
          </w:tcPr>
          <w:p w:rsidR="007110CD" w:rsidRPr="00FD1B1D" w:rsidRDefault="004E1B0C" w:rsidP="00DE480E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</w:t>
            </w:r>
            <w:r w:rsidR="00DE480E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 xml:space="preserve"> </w:t>
            </w:r>
            <w:r w:rsidR="00DE480E">
              <w:rPr>
                <w:sz w:val="18"/>
                <w:szCs w:val="18"/>
              </w:rPr>
              <w:t xml:space="preserve"> 49</w:t>
            </w:r>
            <w:r>
              <w:rPr>
                <w:sz w:val="18"/>
                <w:szCs w:val="18"/>
              </w:rPr>
              <w:t>,</w:t>
            </w:r>
            <w:r w:rsidR="00DE480E">
              <w:rPr>
                <w:sz w:val="18"/>
                <w:szCs w:val="18"/>
              </w:rPr>
              <w:t>297</w:t>
            </w:r>
            <w:r>
              <w:rPr>
                <w:sz w:val="18"/>
                <w:szCs w:val="18"/>
              </w:rPr>
              <w:t>.</w:t>
            </w:r>
            <w:r w:rsidR="00DE480E">
              <w:rPr>
                <w:sz w:val="18"/>
                <w:szCs w:val="18"/>
              </w:rPr>
              <w:t>77</w:t>
            </w:r>
          </w:p>
        </w:tc>
        <w:tc>
          <w:tcPr>
            <w:tcW w:w="2000" w:type="dxa"/>
          </w:tcPr>
          <w:p w:rsidR="007110CD" w:rsidRPr="00FD1B1D" w:rsidRDefault="009877A4" w:rsidP="00A3160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2338D7">
              <w:rPr>
                <w:sz w:val="18"/>
                <w:szCs w:val="18"/>
              </w:rPr>
              <w:t xml:space="preserve">    </w:t>
            </w:r>
            <w:r w:rsidR="00A31602">
              <w:rPr>
                <w:sz w:val="18"/>
                <w:szCs w:val="18"/>
              </w:rPr>
              <w:t xml:space="preserve">       49</w:t>
            </w:r>
            <w:r w:rsidR="004E1B0C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297.77</w:t>
            </w:r>
          </w:p>
        </w:tc>
      </w:tr>
      <w:tr w:rsidR="007110CD" w:rsidRPr="00FD1B1D" w:rsidTr="004E1B0C">
        <w:trPr>
          <w:trHeight w:val="283"/>
        </w:trPr>
        <w:tc>
          <w:tcPr>
            <w:tcW w:w="2417" w:type="dxa"/>
          </w:tcPr>
          <w:p w:rsidR="007110CD" w:rsidRPr="00FD1B1D" w:rsidRDefault="0051446C" w:rsidP="0051446C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>Aportación Estatal</w:t>
            </w:r>
          </w:p>
        </w:tc>
        <w:tc>
          <w:tcPr>
            <w:tcW w:w="1540" w:type="dxa"/>
          </w:tcPr>
          <w:p w:rsidR="007110CD" w:rsidRPr="00FD1B1D" w:rsidRDefault="009877A4" w:rsidP="005A1E1D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D53D1F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</w:t>
            </w:r>
            <w:r w:rsidR="005A1E1D">
              <w:rPr>
                <w:sz w:val="18"/>
                <w:szCs w:val="18"/>
              </w:rPr>
              <w:t>6</w:t>
            </w:r>
            <w:r w:rsidR="00D53D1F">
              <w:rPr>
                <w:sz w:val="18"/>
                <w:szCs w:val="18"/>
              </w:rPr>
              <w:t>,</w:t>
            </w:r>
            <w:r w:rsidR="005A1E1D">
              <w:rPr>
                <w:sz w:val="18"/>
                <w:szCs w:val="18"/>
              </w:rPr>
              <w:t>0</w:t>
            </w:r>
            <w:r w:rsidR="008B1A00">
              <w:rPr>
                <w:sz w:val="18"/>
                <w:szCs w:val="18"/>
              </w:rPr>
              <w:t>0</w:t>
            </w:r>
            <w:r w:rsidR="00D53D1F">
              <w:rPr>
                <w:sz w:val="18"/>
                <w:szCs w:val="18"/>
              </w:rPr>
              <w:t>0,000.00</w:t>
            </w:r>
          </w:p>
        </w:tc>
        <w:tc>
          <w:tcPr>
            <w:tcW w:w="1855" w:type="dxa"/>
          </w:tcPr>
          <w:p w:rsidR="007110CD" w:rsidRPr="00FD1B1D" w:rsidRDefault="002338D7" w:rsidP="00A316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  </w:t>
            </w:r>
            <w:r w:rsidR="00A31602">
              <w:rPr>
                <w:sz w:val="18"/>
                <w:szCs w:val="18"/>
              </w:rPr>
              <w:t>131</w:t>
            </w:r>
            <w:r w:rsidR="00D53D1F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326</w:t>
            </w:r>
            <w:r w:rsidR="00D53D1F">
              <w:rPr>
                <w:sz w:val="18"/>
                <w:szCs w:val="18"/>
              </w:rPr>
              <w:t>.</w:t>
            </w:r>
            <w:r w:rsidR="00A31602">
              <w:rPr>
                <w:sz w:val="18"/>
                <w:szCs w:val="18"/>
              </w:rPr>
              <w:t>31</w:t>
            </w:r>
          </w:p>
        </w:tc>
        <w:tc>
          <w:tcPr>
            <w:tcW w:w="2000" w:type="dxa"/>
          </w:tcPr>
          <w:p w:rsidR="007110CD" w:rsidRPr="00FD1B1D" w:rsidRDefault="009877A4" w:rsidP="00A3160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 </w:t>
            </w:r>
            <w:r w:rsidR="00D53D1F">
              <w:rPr>
                <w:sz w:val="18"/>
                <w:szCs w:val="18"/>
              </w:rPr>
              <w:t xml:space="preserve"> </w:t>
            </w:r>
            <w:r w:rsidR="00A31602">
              <w:rPr>
                <w:sz w:val="18"/>
                <w:szCs w:val="18"/>
              </w:rPr>
              <w:t xml:space="preserve">    </w:t>
            </w:r>
            <w:r w:rsidR="00D53D1F">
              <w:rPr>
                <w:sz w:val="18"/>
                <w:szCs w:val="18"/>
              </w:rPr>
              <w:t xml:space="preserve"> </w:t>
            </w:r>
            <w:r w:rsidR="00A31602">
              <w:rPr>
                <w:sz w:val="18"/>
                <w:szCs w:val="18"/>
              </w:rPr>
              <w:t>131</w:t>
            </w:r>
            <w:r w:rsidR="002338D7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326</w:t>
            </w:r>
            <w:r w:rsidR="00D53D1F">
              <w:rPr>
                <w:sz w:val="18"/>
                <w:szCs w:val="18"/>
              </w:rPr>
              <w:t>.</w:t>
            </w:r>
            <w:r w:rsidR="00A31602">
              <w:rPr>
                <w:sz w:val="18"/>
                <w:szCs w:val="18"/>
              </w:rPr>
              <w:t>31</w:t>
            </w:r>
          </w:p>
        </w:tc>
      </w:tr>
      <w:tr w:rsidR="007110CD" w:rsidRPr="00FD1B1D" w:rsidTr="004E1B0C">
        <w:trPr>
          <w:trHeight w:val="273"/>
        </w:trPr>
        <w:tc>
          <w:tcPr>
            <w:tcW w:w="2417" w:type="dxa"/>
            <w:shd w:val="clear" w:color="auto" w:fill="FFFFFF" w:themeFill="background1"/>
          </w:tcPr>
          <w:p w:rsidR="007110CD" w:rsidRPr="00FD1B1D" w:rsidRDefault="00A121CE" w:rsidP="0051446C">
            <w:pPr>
              <w:pStyle w:val="Default"/>
              <w:jc w:val="right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T </w:t>
            </w:r>
            <w:r w:rsidR="0051446C" w:rsidRPr="00FD1B1D">
              <w:rPr>
                <w:sz w:val="18"/>
                <w:szCs w:val="18"/>
              </w:rPr>
              <w:t>o t a l</w:t>
            </w:r>
          </w:p>
        </w:tc>
        <w:tc>
          <w:tcPr>
            <w:tcW w:w="1540" w:type="dxa"/>
            <w:shd w:val="clear" w:color="auto" w:fill="FFFFFF" w:themeFill="background1"/>
          </w:tcPr>
          <w:p w:rsidR="007110CD" w:rsidRPr="00FD1B1D" w:rsidRDefault="009877A4" w:rsidP="005A1E1D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</w:t>
            </w:r>
            <w:r w:rsidR="00BE1EE4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</w:t>
            </w:r>
            <w:r w:rsidR="005A1E1D">
              <w:rPr>
                <w:sz w:val="18"/>
                <w:szCs w:val="18"/>
              </w:rPr>
              <w:t xml:space="preserve"> 6</w:t>
            </w:r>
            <w:r w:rsidR="00A121CE" w:rsidRPr="00FD1B1D">
              <w:rPr>
                <w:sz w:val="18"/>
                <w:szCs w:val="18"/>
              </w:rPr>
              <w:t>,</w:t>
            </w:r>
            <w:r w:rsidR="005A1E1D">
              <w:rPr>
                <w:sz w:val="18"/>
                <w:szCs w:val="18"/>
              </w:rPr>
              <w:t>000</w:t>
            </w:r>
            <w:r w:rsidR="00A121CE" w:rsidRPr="00FD1B1D">
              <w:rPr>
                <w:sz w:val="18"/>
                <w:szCs w:val="18"/>
              </w:rPr>
              <w:t>,</w:t>
            </w:r>
            <w:r w:rsidR="005A1E1D">
              <w:rPr>
                <w:sz w:val="18"/>
                <w:szCs w:val="18"/>
              </w:rPr>
              <w:t>00</w:t>
            </w:r>
            <w:r w:rsidR="00D53D1F">
              <w:rPr>
                <w:sz w:val="18"/>
                <w:szCs w:val="18"/>
              </w:rPr>
              <w:t>0</w:t>
            </w:r>
            <w:r w:rsidR="00A121CE" w:rsidRPr="00FD1B1D">
              <w:rPr>
                <w:sz w:val="18"/>
                <w:szCs w:val="18"/>
              </w:rPr>
              <w:t>.</w:t>
            </w:r>
            <w:r w:rsidR="00FF1096" w:rsidRPr="00FD1B1D">
              <w:rPr>
                <w:sz w:val="18"/>
                <w:szCs w:val="18"/>
              </w:rPr>
              <w:t>0</w:t>
            </w:r>
            <w:r w:rsidR="00A121CE" w:rsidRPr="00FD1B1D">
              <w:rPr>
                <w:sz w:val="18"/>
                <w:szCs w:val="18"/>
              </w:rPr>
              <w:t>0</w:t>
            </w:r>
          </w:p>
        </w:tc>
        <w:tc>
          <w:tcPr>
            <w:tcW w:w="1855" w:type="dxa"/>
            <w:shd w:val="clear" w:color="auto" w:fill="FFFFFF" w:themeFill="background1"/>
          </w:tcPr>
          <w:p w:rsidR="007110CD" w:rsidRPr="00FD1B1D" w:rsidRDefault="004E1B0C" w:rsidP="00A31602">
            <w:pPr>
              <w:pStyle w:val="Default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</w:t>
            </w:r>
            <w:r w:rsidR="00A31602">
              <w:rPr>
                <w:sz w:val="18"/>
                <w:szCs w:val="18"/>
              </w:rPr>
              <w:t>180</w:t>
            </w:r>
            <w:r w:rsidR="00A121CE" w:rsidRPr="00FD1B1D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624</w:t>
            </w:r>
            <w:r w:rsidR="00A121CE" w:rsidRPr="00FD1B1D">
              <w:rPr>
                <w:sz w:val="18"/>
                <w:szCs w:val="18"/>
              </w:rPr>
              <w:t>.</w:t>
            </w:r>
            <w:r w:rsidR="00A31602">
              <w:rPr>
                <w:sz w:val="18"/>
                <w:szCs w:val="18"/>
              </w:rPr>
              <w:t>08</w:t>
            </w:r>
          </w:p>
        </w:tc>
        <w:tc>
          <w:tcPr>
            <w:tcW w:w="2000" w:type="dxa"/>
            <w:shd w:val="clear" w:color="auto" w:fill="FFFFFF" w:themeFill="background1"/>
          </w:tcPr>
          <w:p w:rsidR="007110CD" w:rsidRPr="00FD1B1D" w:rsidRDefault="009877A4" w:rsidP="00A31602">
            <w:pPr>
              <w:pStyle w:val="Default"/>
              <w:jc w:val="both"/>
              <w:rPr>
                <w:sz w:val="18"/>
                <w:szCs w:val="18"/>
              </w:rPr>
            </w:pPr>
            <w:r w:rsidRPr="00FD1B1D">
              <w:rPr>
                <w:sz w:val="18"/>
                <w:szCs w:val="18"/>
              </w:rPr>
              <w:t xml:space="preserve"> </w:t>
            </w:r>
            <w:r w:rsidR="004E1B0C">
              <w:rPr>
                <w:sz w:val="18"/>
                <w:szCs w:val="18"/>
              </w:rPr>
              <w:t xml:space="preserve">   </w:t>
            </w:r>
            <w:r w:rsidR="002338D7">
              <w:rPr>
                <w:sz w:val="18"/>
                <w:szCs w:val="18"/>
              </w:rPr>
              <w:t xml:space="preserve"> </w:t>
            </w:r>
            <w:r w:rsidR="00A31602">
              <w:rPr>
                <w:sz w:val="18"/>
                <w:szCs w:val="18"/>
              </w:rPr>
              <w:t xml:space="preserve">   6</w:t>
            </w:r>
            <w:r w:rsidR="00D53D1F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180</w:t>
            </w:r>
            <w:r w:rsidR="00D53D1F">
              <w:rPr>
                <w:sz w:val="18"/>
                <w:szCs w:val="18"/>
              </w:rPr>
              <w:t>,</w:t>
            </w:r>
            <w:r w:rsidR="00A31602">
              <w:rPr>
                <w:sz w:val="18"/>
                <w:szCs w:val="18"/>
              </w:rPr>
              <w:t>624</w:t>
            </w:r>
            <w:r w:rsidR="00D53D1F">
              <w:rPr>
                <w:sz w:val="18"/>
                <w:szCs w:val="18"/>
              </w:rPr>
              <w:t>.</w:t>
            </w:r>
            <w:r w:rsidR="00A31602">
              <w:rPr>
                <w:sz w:val="18"/>
                <w:szCs w:val="18"/>
              </w:rPr>
              <w:t>08</w:t>
            </w:r>
          </w:p>
        </w:tc>
      </w:tr>
    </w:tbl>
    <w:p w:rsidR="009854E5" w:rsidRDefault="009854E5" w:rsidP="009877A4">
      <w:pPr>
        <w:pStyle w:val="Default"/>
        <w:jc w:val="both"/>
        <w:rPr>
          <w:sz w:val="18"/>
          <w:szCs w:val="18"/>
        </w:rPr>
      </w:pPr>
    </w:p>
    <w:p w:rsidR="006C1BBD" w:rsidRPr="00FD1B1D" w:rsidRDefault="00926AEA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  <w:r w:rsidR="009854E5">
        <w:rPr>
          <w:sz w:val="18"/>
          <w:szCs w:val="18"/>
        </w:rPr>
        <w:t>b) Proyección de la recaudación e ingresos en el mediano plazo.- No aplica</w:t>
      </w:r>
    </w:p>
    <w:p w:rsidR="00926AEA" w:rsidRPr="00FD1B1D" w:rsidRDefault="00F11A31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 xml:space="preserve"> </w:t>
      </w:r>
    </w:p>
    <w:p w:rsidR="009854E5" w:rsidRDefault="009854E5" w:rsidP="009877A4">
      <w:pPr>
        <w:pStyle w:val="Default"/>
        <w:jc w:val="both"/>
        <w:rPr>
          <w:b/>
          <w:sz w:val="18"/>
          <w:szCs w:val="18"/>
        </w:rPr>
      </w:pPr>
    </w:p>
    <w:p w:rsidR="00BC184D" w:rsidRPr="00FD1B1D" w:rsidRDefault="00BC184D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 xml:space="preserve">11. Información sobre la deuda y el reporte analítico de la deuda.- </w:t>
      </w:r>
      <w:r w:rsidRPr="00FD1B1D">
        <w:rPr>
          <w:sz w:val="18"/>
          <w:szCs w:val="18"/>
        </w:rPr>
        <w:t>Este ente no cuenta con deuda.</w:t>
      </w:r>
      <w:r w:rsidR="006050B9">
        <w:rPr>
          <w:sz w:val="18"/>
          <w:szCs w:val="18"/>
        </w:rPr>
        <w:t xml:space="preserve"> No aplica.</w:t>
      </w:r>
    </w:p>
    <w:p w:rsidR="00434941" w:rsidRPr="00FD1B1D" w:rsidRDefault="00434941" w:rsidP="009877A4">
      <w:pPr>
        <w:pStyle w:val="Default"/>
        <w:jc w:val="both"/>
        <w:rPr>
          <w:sz w:val="18"/>
          <w:szCs w:val="18"/>
        </w:rPr>
      </w:pPr>
    </w:p>
    <w:p w:rsidR="00BC184D" w:rsidRPr="00FD1B1D" w:rsidRDefault="00BC184D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12.</w:t>
      </w:r>
      <w:r w:rsidR="00E2082F" w:rsidRPr="00FD1B1D">
        <w:rPr>
          <w:b/>
          <w:sz w:val="18"/>
          <w:szCs w:val="18"/>
        </w:rPr>
        <w:t xml:space="preserve"> </w:t>
      </w:r>
      <w:r w:rsidRPr="00FD1B1D">
        <w:rPr>
          <w:b/>
          <w:sz w:val="18"/>
          <w:szCs w:val="18"/>
        </w:rPr>
        <w:t>Calificadoras otorgadas.-</w:t>
      </w:r>
      <w:r w:rsidR="009877A4" w:rsidRPr="00FD1B1D">
        <w:rPr>
          <w:b/>
          <w:sz w:val="18"/>
          <w:szCs w:val="18"/>
        </w:rPr>
        <w:t xml:space="preserve"> </w:t>
      </w:r>
      <w:r w:rsidRPr="00FD1B1D">
        <w:rPr>
          <w:sz w:val="18"/>
          <w:szCs w:val="18"/>
        </w:rPr>
        <w:t>Este ente no tuvo calificaciones otorgadas.</w:t>
      </w:r>
      <w:r w:rsidR="00646F59">
        <w:rPr>
          <w:sz w:val="18"/>
          <w:szCs w:val="18"/>
        </w:rPr>
        <w:t xml:space="preserve"> No aplica.</w:t>
      </w:r>
    </w:p>
    <w:p w:rsidR="00434941" w:rsidRPr="00FD1B1D" w:rsidRDefault="00434941" w:rsidP="009877A4">
      <w:pPr>
        <w:pStyle w:val="Default"/>
        <w:jc w:val="both"/>
        <w:rPr>
          <w:sz w:val="18"/>
          <w:szCs w:val="18"/>
        </w:rPr>
      </w:pPr>
    </w:p>
    <w:p w:rsidR="00EF5BF2" w:rsidRPr="00FD1B1D" w:rsidRDefault="00BC184D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13. Procesos de mejora.-</w:t>
      </w:r>
      <w:r w:rsidR="00905A5C" w:rsidRPr="00FD1B1D">
        <w:rPr>
          <w:b/>
          <w:sz w:val="18"/>
          <w:szCs w:val="18"/>
        </w:rPr>
        <w:t xml:space="preserve"> </w:t>
      </w:r>
      <w:r w:rsidRPr="00FD1B1D">
        <w:rPr>
          <w:sz w:val="18"/>
          <w:szCs w:val="18"/>
        </w:rPr>
        <w:t xml:space="preserve">Este ente fortalece continuamente las políticas, procedimientos y controles </w:t>
      </w:r>
      <w:r w:rsidR="009877A4" w:rsidRPr="00FD1B1D">
        <w:rPr>
          <w:sz w:val="18"/>
          <w:szCs w:val="18"/>
        </w:rPr>
        <w:t xml:space="preserve"> </w:t>
      </w:r>
      <w:r w:rsidR="00434941" w:rsidRPr="00FD1B1D">
        <w:rPr>
          <w:sz w:val="18"/>
          <w:szCs w:val="18"/>
        </w:rPr>
        <w:t xml:space="preserve">  i</w:t>
      </w:r>
      <w:r w:rsidRPr="00FD1B1D">
        <w:rPr>
          <w:sz w:val="18"/>
          <w:szCs w:val="18"/>
        </w:rPr>
        <w:t xml:space="preserve">nternos </w:t>
      </w:r>
      <w:r w:rsidR="00EF5BF2" w:rsidRPr="00FD1B1D">
        <w:rPr>
          <w:sz w:val="18"/>
          <w:szCs w:val="18"/>
        </w:rPr>
        <w:t xml:space="preserve">conforme </w:t>
      </w:r>
      <w:r w:rsidR="002F5D46" w:rsidRPr="00FD1B1D">
        <w:rPr>
          <w:sz w:val="18"/>
          <w:szCs w:val="18"/>
        </w:rPr>
        <w:t xml:space="preserve">a las disposiciones establecidas en las Reglas de Operación del </w:t>
      </w:r>
      <w:r w:rsidR="00165DF5" w:rsidRPr="00FD1B1D">
        <w:rPr>
          <w:sz w:val="18"/>
          <w:szCs w:val="18"/>
        </w:rPr>
        <w:t>p</w:t>
      </w:r>
      <w:r w:rsidR="002F5D46" w:rsidRPr="00FD1B1D">
        <w:rPr>
          <w:sz w:val="18"/>
          <w:szCs w:val="18"/>
        </w:rPr>
        <w:t>rograma,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requerimientos de la Coordinación Nacional de Becas para la Educación</w:t>
      </w:r>
      <w:r w:rsidR="002F5D46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Superior,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a lineamientos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establecidos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por el CONAC, y a sugerencias u orientaciones generadas</w:t>
      </w:r>
      <w:r w:rsidR="002F5D46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p</w:t>
      </w:r>
      <w:r w:rsidRPr="00FD1B1D">
        <w:rPr>
          <w:sz w:val="18"/>
          <w:szCs w:val="18"/>
        </w:rPr>
        <w:t>or las auditorías</w:t>
      </w:r>
      <w:r w:rsidR="009877A4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 xml:space="preserve">practicadas </w:t>
      </w:r>
      <w:r w:rsidR="009877A4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p</w:t>
      </w:r>
      <w:r w:rsidRPr="00FD1B1D">
        <w:rPr>
          <w:sz w:val="18"/>
          <w:szCs w:val="18"/>
        </w:rPr>
        <w:t xml:space="preserve">or </w:t>
      </w:r>
      <w:r w:rsidR="00EF5BF2" w:rsidRPr="00FD1B1D">
        <w:rPr>
          <w:sz w:val="18"/>
          <w:szCs w:val="18"/>
        </w:rPr>
        <w:t>Órganos de control Estatales y Despachos contables externos, derivado</w:t>
      </w:r>
      <w:r w:rsidR="002F5D46" w:rsidRPr="00FD1B1D">
        <w:rPr>
          <w:sz w:val="18"/>
          <w:szCs w:val="18"/>
        </w:rPr>
        <w:t xml:space="preserve"> </w:t>
      </w:r>
      <w:r w:rsidR="00EF5BF2" w:rsidRPr="00FD1B1D">
        <w:rPr>
          <w:sz w:val="18"/>
          <w:szCs w:val="18"/>
        </w:rPr>
        <w:t>de la</w:t>
      </w:r>
      <w:r w:rsidR="00E727A4" w:rsidRPr="00FD1B1D">
        <w:rPr>
          <w:sz w:val="18"/>
          <w:szCs w:val="18"/>
        </w:rPr>
        <w:t xml:space="preserve"> obligatoriedad establecida en las reglas de operación de </w:t>
      </w:r>
      <w:r w:rsidR="002F5D46" w:rsidRPr="00FD1B1D">
        <w:rPr>
          <w:sz w:val="18"/>
          <w:szCs w:val="18"/>
        </w:rPr>
        <w:t xml:space="preserve"> dictamina</w:t>
      </w:r>
      <w:r w:rsidR="00E727A4" w:rsidRPr="00FD1B1D">
        <w:rPr>
          <w:sz w:val="18"/>
          <w:szCs w:val="18"/>
        </w:rPr>
        <w:t xml:space="preserve">r </w:t>
      </w:r>
      <w:r w:rsidR="002F5D46" w:rsidRPr="00FD1B1D">
        <w:rPr>
          <w:sz w:val="18"/>
          <w:szCs w:val="18"/>
        </w:rPr>
        <w:t xml:space="preserve"> los </w:t>
      </w:r>
      <w:r w:rsidR="009877A4" w:rsidRPr="00FD1B1D">
        <w:rPr>
          <w:sz w:val="18"/>
          <w:szCs w:val="18"/>
        </w:rPr>
        <w:t xml:space="preserve"> </w:t>
      </w:r>
      <w:r w:rsidR="002F5D46" w:rsidRPr="00FD1B1D">
        <w:rPr>
          <w:sz w:val="18"/>
          <w:szCs w:val="18"/>
        </w:rPr>
        <w:t>estados financieros de cada</w:t>
      </w:r>
      <w:r w:rsidR="00EF5BF2" w:rsidRPr="00FD1B1D">
        <w:rPr>
          <w:sz w:val="18"/>
          <w:szCs w:val="18"/>
        </w:rPr>
        <w:t xml:space="preserve"> ejercicio fiscal.</w:t>
      </w:r>
    </w:p>
    <w:p w:rsidR="00061D19" w:rsidRPr="00FD1B1D" w:rsidRDefault="00F11A31" w:rsidP="00646F59">
      <w:pPr>
        <w:pStyle w:val="Default"/>
        <w:ind w:left="142" w:hanging="142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</w:t>
      </w:r>
      <w:r w:rsidR="00926AEA" w:rsidRPr="00FD1B1D">
        <w:rPr>
          <w:b/>
          <w:sz w:val="18"/>
          <w:szCs w:val="18"/>
        </w:rPr>
        <w:t xml:space="preserve">  </w:t>
      </w:r>
    </w:p>
    <w:p w:rsidR="007C7758" w:rsidRPr="00FD1B1D" w:rsidRDefault="006472F3" w:rsidP="00AE5E60">
      <w:pPr>
        <w:pStyle w:val="Default"/>
        <w:shd w:val="clear" w:color="auto" w:fill="FFFFFF" w:themeFill="background1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14. Información por segmentos.-</w:t>
      </w:r>
      <w:r w:rsidR="00380F44" w:rsidRPr="00FD1B1D">
        <w:rPr>
          <w:b/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 xml:space="preserve">Los ingresos de este ente se conforman de aportaciones federales y </w:t>
      </w:r>
      <w:r w:rsidR="009877A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estatales,</w:t>
      </w:r>
      <w:r w:rsidR="002D22AC" w:rsidRPr="00FD1B1D">
        <w:rPr>
          <w:sz w:val="18"/>
          <w:szCs w:val="18"/>
        </w:rPr>
        <w:t xml:space="preserve"> mismas que tienen un destino específico </w:t>
      </w:r>
      <w:r w:rsidR="006B1FB5" w:rsidRPr="00FD1B1D">
        <w:rPr>
          <w:sz w:val="18"/>
          <w:szCs w:val="18"/>
        </w:rPr>
        <w:t xml:space="preserve">de </w:t>
      </w:r>
      <w:r w:rsidR="002D22AC" w:rsidRPr="00FD1B1D">
        <w:rPr>
          <w:sz w:val="18"/>
          <w:szCs w:val="18"/>
        </w:rPr>
        <w:t xml:space="preserve">gasto: son recursos comprometidos para otorgar becas 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a estudiantes del nivel superior</w:t>
      </w:r>
      <w:r w:rsidR="00380F4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inscritos en las Instituciones Públicas</w:t>
      </w:r>
      <w:r w:rsidR="004F3193">
        <w:rPr>
          <w:sz w:val="18"/>
          <w:szCs w:val="18"/>
        </w:rPr>
        <w:t xml:space="preserve"> del Estado de Nayarit</w:t>
      </w:r>
      <w:r w:rsidR="002D22AC" w:rsidRPr="00FD1B1D">
        <w:rPr>
          <w:sz w:val="18"/>
          <w:szCs w:val="18"/>
        </w:rPr>
        <w:t>.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L</w:t>
      </w:r>
      <w:r w:rsidR="007C7758" w:rsidRPr="00FD1B1D">
        <w:rPr>
          <w:sz w:val="18"/>
          <w:szCs w:val="18"/>
        </w:rPr>
        <w:t>as inversiones en valores</w:t>
      </w:r>
      <w:r w:rsidR="00C0481E" w:rsidRPr="00FD1B1D">
        <w:rPr>
          <w:sz w:val="18"/>
          <w:szCs w:val="18"/>
        </w:rPr>
        <w:t xml:space="preserve"> s</w:t>
      </w:r>
      <w:r w:rsidR="00286815" w:rsidRPr="00FD1B1D">
        <w:rPr>
          <w:sz w:val="18"/>
          <w:szCs w:val="18"/>
        </w:rPr>
        <w:t>on</w:t>
      </w:r>
      <w:r w:rsidR="009877A4" w:rsidRPr="00FD1B1D">
        <w:rPr>
          <w:sz w:val="18"/>
          <w:szCs w:val="18"/>
        </w:rPr>
        <w:t xml:space="preserve">  </w:t>
      </w:r>
      <w:r w:rsidR="007C7758" w:rsidRPr="00FD1B1D">
        <w:rPr>
          <w:sz w:val="18"/>
          <w:szCs w:val="18"/>
        </w:rPr>
        <w:t>Inmediata realización se valúan a</w:t>
      </w:r>
      <w:r w:rsidR="00380F4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valor de mercado, reconociendo los intereses como ingresos del</w:t>
      </w:r>
      <w:r w:rsidR="002D22AC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 xml:space="preserve">período </w:t>
      </w:r>
      <w:r w:rsidR="009877A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en que se devengan</w:t>
      </w:r>
      <w:r w:rsidR="002D22AC" w:rsidRPr="00FD1B1D">
        <w:rPr>
          <w:sz w:val="18"/>
          <w:szCs w:val="18"/>
        </w:rPr>
        <w:t>. Solo</w:t>
      </w:r>
      <w:r w:rsidR="007C7758" w:rsidRPr="00FD1B1D">
        <w:rPr>
          <w:sz w:val="18"/>
          <w:szCs w:val="18"/>
        </w:rPr>
        <w:t xml:space="preserve"> el 1</w:t>
      </w:r>
      <w:r w:rsidR="009D40E4">
        <w:rPr>
          <w:sz w:val="18"/>
          <w:szCs w:val="18"/>
        </w:rPr>
        <w:t>.5</w:t>
      </w:r>
      <w:r w:rsidR="007C7758" w:rsidRPr="00FD1B1D">
        <w:rPr>
          <w:sz w:val="18"/>
          <w:szCs w:val="18"/>
        </w:rPr>
        <w:t>%</w:t>
      </w:r>
      <w:r w:rsidR="00380F44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del</w:t>
      </w:r>
      <w:r w:rsidR="002D22AC" w:rsidRPr="00FD1B1D">
        <w:rPr>
          <w:sz w:val="18"/>
          <w:szCs w:val="18"/>
        </w:rPr>
        <w:t xml:space="preserve"> </w:t>
      </w:r>
      <w:r w:rsidR="007C7758" w:rsidRPr="00FD1B1D">
        <w:rPr>
          <w:sz w:val="18"/>
          <w:szCs w:val="18"/>
        </w:rPr>
        <w:t>presupuesto estatal aprobado se</w:t>
      </w:r>
      <w:r w:rsidR="002D22AC" w:rsidRPr="00FD1B1D">
        <w:rPr>
          <w:sz w:val="18"/>
          <w:szCs w:val="18"/>
        </w:rPr>
        <w:t xml:space="preserve"> asigna a gastos menores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 xml:space="preserve">de </w:t>
      </w:r>
      <w:r w:rsidR="009877A4" w:rsidRPr="00FD1B1D">
        <w:rPr>
          <w:sz w:val="18"/>
          <w:szCs w:val="18"/>
        </w:rPr>
        <w:t xml:space="preserve"> </w:t>
      </w:r>
      <w:r w:rsidR="002D22AC" w:rsidRPr="00FD1B1D">
        <w:rPr>
          <w:sz w:val="18"/>
          <w:szCs w:val="18"/>
        </w:rPr>
        <w:t>operación del programa c</w:t>
      </w:r>
      <w:r w:rsidR="006B1FB5" w:rsidRPr="00FD1B1D">
        <w:rPr>
          <w:sz w:val="18"/>
          <w:szCs w:val="18"/>
        </w:rPr>
        <w:t>o</w:t>
      </w:r>
      <w:r w:rsidR="002D22AC" w:rsidRPr="00FD1B1D">
        <w:rPr>
          <w:sz w:val="18"/>
          <w:szCs w:val="18"/>
        </w:rPr>
        <w:t xml:space="preserve">nforme a lo </w:t>
      </w:r>
      <w:r w:rsidR="006B1FB5" w:rsidRPr="00FD1B1D">
        <w:rPr>
          <w:sz w:val="18"/>
          <w:szCs w:val="18"/>
        </w:rPr>
        <w:t>dispuesto</w:t>
      </w:r>
      <w:r w:rsidR="002D22AC" w:rsidRPr="00FD1B1D">
        <w:rPr>
          <w:sz w:val="18"/>
          <w:szCs w:val="18"/>
        </w:rPr>
        <w:t xml:space="preserve"> en </w:t>
      </w:r>
      <w:r w:rsidR="007C7758" w:rsidRPr="00FD1B1D">
        <w:rPr>
          <w:sz w:val="18"/>
          <w:szCs w:val="18"/>
        </w:rPr>
        <w:t>Reglas de Operación</w:t>
      </w:r>
      <w:r w:rsidR="002D22AC" w:rsidRPr="00FD1B1D">
        <w:rPr>
          <w:sz w:val="18"/>
          <w:szCs w:val="18"/>
        </w:rPr>
        <w:t>.</w:t>
      </w:r>
      <w:r w:rsidR="009877A4" w:rsidRPr="00FD1B1D">
        <w:rPr>
          <w:sz w:val="18"/>
          <w:szCs w:val="18"/>
        </w:rPr>
        <w:t xml:space="preserve"> </w:t>
      </w:r>
    </w:p>
    <w:p w:rsidR="00A81B06" w:rsidRPr="00FD1B1D" w:rsidRDefault="00A81B06" w:rsidP="009877A4">
      <w:pPr>
        <w:pStyle w:val="Default"/>
        <w:jc w:val="both"/>
        <w:rPr>
          <w:sz w:val="18"/>
          <w:szCs w:val="18"/>
        </w:rPr>
      </w:pPr>
    </w:p>
    <w:p w:rsidR="00D20792" w:rsidRPr="00FD1B1D" w:rsidRDefault="00AF6C7D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15.</w:t>
      </w:r>
      <w:r w:rsidR="00380F44" w:rsidRPr="00FD1B1D">
        <w:rPr>
          <w:b/>
          <w:sz w:val="18"/>
          <w:szCs w:val="18"/>
        </w:rPr>
        <w:t xml:space="preserve"> Eventos posteriores al cierre.</w:t>
      </w:r>
      <w:r w:rsidR="00A51D47">
        <w:rPr>
          <w:b/>
          <w:sz w:val="18"/>
          <w:szCs w:val="18"/>
        </w:rPr>
        <w:t xml:space="preserve"> </w:t>
      </w:r>
      <w:r w:rsidR="00A51D47">
        <w:rPr>
          <w:sz w:val="18"/>
          <w:szCs w:val="18"/>
        </w:rPr>
        <w:t>Se informa que a la fecha de preparación de la Cuenta Pública de</w:t>
      </w:r>
      <w:r w:rsidR="008E08B4">
        <w:rPr>
          <w:sz w:val="18"/>
          <w:szCs w:val="18"/>
        </w:rPr>
        <w:t xml:space="preserve"> este ente,</w:t>
      </w:r>
      <w:r w:rsidR="00A51D47">
        <w:rPr>
          <w:sz w:val="18"/>
          <w:szCs w:val="18"/>
        </w:rPr>
        <w:t xml:space="preserve">  correspondiente al ejercicio fiscal 201</w:t>
      </w:r>
      <w:r w:rsidR="00245D16">
        <w:rPr>
          <w:sz w:val="18"/>
          <w:szCs w:val="18"/>
        </w:rPr>
        <w:t>8</w:t>
      </w:r>
      <w:r w:rsidR="00A51D47">
        <w:rPr>
          <w:sz w:val="18"/>
          <w:szCs w:val="18"/>
        </w:rPr>
        <w:t>, no se reportan eventos posteriores al cierre que deban revelarse en este documento.</w:t>
      </w:r>
    </w:p>
    <w:p w:rsidR="00380F44" w:rsidRPr="00FD1B1D" w:rsidRDefault="00380F44" w:rsidP="009877A4">
      <w:pPr>
        <w:pStyle w:val="Default"/>
        <w:jc w:val="both"/>
        <w:rPr>
          <w:sz w:val="18"/>
          <w:szCs w:val="18"/>
        </w:rPr>
      </w:pPr>
    </w:p>
    <w:p w:rsidR="00AF2269" w:rsidRDefault="00380F44" w:rsidP="00434941">
      <w:pPr>
        <w:pStyle w:val="Default"/>
        <w:ind w:left="142" w:hanging="142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>16. Partes Relacionadas.</w:t>
      </w:r>
      <w:r w:rsidR="00AF2269" w:rsidRPr="00FD1B1D">
        <w:rPr>
          <w:b/>
          <w:sz w:val="18"/>
          <w:szCs w:val="18"/>
        </w:rPr>
        <w:t xml:space="preserve"> </w:t>
      </w:r>
      <w:r w:rsidR="00AF2269" w:rsidRPr="00FD1B1D">
        <w:rPr>
          <w:sz w:val="18"/>
          <w:szCs w:val="18"/>
        </w:rPr>
        <w:t>Este ente</w:t>
      </w:r>
      <w:r w:rsidR="00D51023" w:rsidRPr="00FD1B1D">
        <w:rPr>
          <w:sz w:val="18"/>
          <w:szCs w:val="18"/>
        </w:rPr>
        <w:t xml:space="preserve"> i</w:t>
      </w:r>
      <w:r w:rsidR="00AF2269" w:rsidRPr="00FD1B1D">
        <w:rPr>
          <w:sz w:val="18"/>
          <w:szCs w:val="18"/>
        </w:rPr>
        <w:t>nforma que no existen parte</w:t>
      </w:r>
      <w:r w:rsidR="00D51023" w:rsidRPr="00FD1B1D">
        <w:rPr>
          <w:sz w:val="18"/>
          <w:szCs w:val="18"/>
        </w:rPr>
        <w:t>s</w:t>
      </w:r>
      <w:r w:rsidR="00AF2269" w:rsidRPr="00FD1B1D">
        <w:rPr>
          <w:sz w:val="18"/>
          <w:szCs w:val="18"/>
        </w:rPr>
        <w:t xml:space="preserve"> relacionadas que puedan ejercer influencia</w:t>
      </w:r>
      <w:r w:rsidR="009877A4" w:rsidRPr="00FD1B1D">
        <w:rPr>
          <w:sz w:val="18"/>
          <w:szCs w:val="18"/>
        </w:rPr>
        <w:t xml:space="preserve"> </w:t>
      </w:r>
      <w:r w:rsidR="00D51023" w:rsidRPr="00FD1B1D">
        <w:rPr>
          <w:sz w:val="18"/>
          <w:szCs w:val="18"/>
        </w:rPr>
        <w:t>s</w:t>
      </w:r>
      <w:r w:rsidR="00AF2269" w:rsidRPr="00FD1B1D">
        <w:rPr>
          <w:sz w:val="18"/>
          <w:szCs w:val="18"/>
        </w:rPr>
        <w:t>ignificativa sobre la toma de decisiones financieras y operativas</w:t>
      </w:r>
      <w:r w:rsidR="00600D90" w:rsidRPr="00FD1B1D">
        <w:rPr>
          <w:sz w:val="18"/>
          <w:szCs w:val="18"/>
        </w:rPr>
        <w:t>.</w:t>
      </w:r>
    </w:p>
    <w:p w:rsidR="0009580B" w:rsidRDefault="0009580B" w:rsidP="00434941">
      <w:pPr>
        <w:pStyle w:val="Default"/>
        <w:ind w:left="142" w:hanging="142"/>
        <w:jc w:val="both"/>
        <w:rPr>
          <w:b/>
          <w:sz w:val="18"/>
          <w:szCs w:val="18"/>
        </w:rPr>
      </w:pPr>
    </w:p>
    <w:p w:rsidR="0009580B" w:rsidRPr="00FD1B1D" w:rsidRDefault="0009580B" w:rsidP="00434941">
      <w:pPr>
        <w:pStyle w:val="Default"/>
        <w:ind w:left="142" w:hanging="142"/>
        <w:jc w:val="both"/>
        <w:rPr>
          <w:sz w:val="18"/>
          <w:szCs w:val="18"/>
        </w:rPr>
      </w:pPr>
      <w:r>
        <w:rPr>
          <w:b/>
          <w:sz w:val="18"/>
          <w:szCs w:val="18"/>
        </w:rPr>
        <w:t>17. Responsabilidad sobre la presentación razonable de la información contable</w:t>
      </w:r>
      <w:r w:rsidR="00503A23">
        <w:rPr>
          <w:b/>
          <w:sz w:val="18"/>
          <w:szCs w:val="18"/>
        </w:rPr>
        <w:t>.</w:t>
      </w: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Bajo protesta de decir</w:t>
      </w:r>
      <w:r w:rsidR="009877A4" w:rsidRPr="00FD1B1D">
        <w:rPr>
          <w:sz w:val="18"/>
          <w:szCs w:val="18"/>
        </w:rPr>
        <w:t xml:space="preserve"> </w:t>
      </w:r>
      <w:r w:rsidRPr="00FD1B1D">
        <w:rPr>
          <w:sz w:val="18"/>
          <w:szCs w:val="18"/>
        </w:rPr>
        <w:t>verdad declaramos que los Estados Financieros y sus Notas son razonablemente correctos y responsabilidad del emisor.</w:t>
      </w: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Default="00600D90" w:rsidP="009877A4">
      <w:pPr>
        <w:pStyle w:val="Default"/>
        <w:jc w:val="both"/>
        <w:rPr>
          <w:sz w:val="18"/>
          <w:szCs w:val="18"/>
        </w:rPr>
      </w:pPr>
    </w:p>
    <w:p w:rsidR="00B34A96" w:rsidRDefault="00B34A96" w:rsidP="009877A4">
      <w:pPr>
        <w:pStyle w:val="Default"/>
        <w:jc w:val="both"/>
        <w:rPr>
          <w:sz w:val="18"/>
          <w:szCs w:val="18"/>
        </w:rPr>
      </w:pPr>
    </w:p>
    <w:p w:rsidR="00B34A96" w:rsidRDefault="00B34A96" w:rsidP="009877A4">
      <w:pPr>
        <w:pStyle w:val="Default"/>
        <w:jc w:val="both"/>
        <w:rPr>
          <w:sz w:val="18"/>
          <w:szCs w:val="18"/>
        </w:rPr>
      </w:pPr>
    </w:p>
    <w:p w:rsidR="00B34A96" w:rsidRPr="00FD1B1D" w:rsidRDefault="00B34A96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600D90" w:rsidP="009877A4">
      <w:pPr>
        <w:pStyle w:val="Default"/>
        <w:jc w:val="both"/>
        <w:rPr>
          <w:sz w:val="18"/>
          <w:szCs w:val="18"/>
        </w:rPr>
      </w:pPr>
    </w:p>
    <w:p w:rsidR="00600D90" w:rsidRPr="00FD1B1D" w:rsidRDefault="00D51023" w:rsidP="009877A4">
      <w:pPr>
        <w:pStyle w:val="Default"/>
        <w:jc w:val="both"/>
        <w:rPr>
          <w:sz w:val="18"/>
          <w:szCs w:val="18"/>
        </w:rPr>
      </w:pPr>
      <w:r w:rsidRPr="00FD1B1D">
        <w:rPr>
          <w:sz w:val="18"/>
          <w:szCs w:val="18"/>
        </w:rPr>
        <w:t>___________________________________________</w:t>
      </w:r>
      <w:r w:rsidR="009877A4" w:rsidRPr="00FD1B1D">
        <w:rPr>
          <w:sz w:val="18"/>
          <w:szCs w:val="18"/>
        </w:rPr>
        <w:t xml:space="preserve"> </w:t>
      </w:r>
      <w:r w:rsidR="0087260A" w:rsidRPr="00FD1B1D">
        <w:rPr>
          <w:sz w:val="18"/>
          <w:szCs w:val="18"/>
        </w:rPr>
        <w:t xml:space="preserve">  </w:t>
      </w:r>
      <w:r w:rsidR="00A57188">
        <w:rPr>
          <w:sz w:val="18"/>
          <w:szCs w:val="18"/>
        </w:rPr>
        <w:t xml:space="preserve">          </w:t>
      </w:r>
      <w:r w:rsidRPr="00FD1B1D">
        <w:rPr>
          <w:sz w:val="18"/>
          <w:szCs w:val="18"/>
        </w:rPr>
        <w:t>_________________________________________</w:t>
      </w:r>
    </w:p>
    <w:p w:rsidR="00A81B06" w:rsidRPr="00FD1B1D" w:rsidRDefault="0087260A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  </w:t>
      </w:r>
      <w:r w:rsidR="009877A4" w:rsidRPr="00FD1B1D">
        <w:rPr>
          <w:b/>
          <w:sz w:val="18"/>
          <w:szCs w:val="18"/>
        </w:rPr>
        <w:t xml:space="preserve"> </w:t>
      </w:r>
      <w:r w:rsidR="00303169" w:rsidRPr="00FD1B1D">
        <w:rPr>
          <w:b/>
          <w:sz w:val="18"/>
          <w:szCs w:val="18"/>
        </w:rPr>
        <w:t xml:space="preserve">          </w:t>
      </w:r>
      <w:r w:rsidR="00A94174">
        <w:rPr>
          <w:b/>
          <w:sz w:val="18"/>
          <w:szCs w:val="18"/>
        </w:rPr>
        <w:t>Lic. Miguel Guerrero Gutiérre</w:t>
      </w:r>
      <w:r w:rsidR="00886873">
        <w:rPr>
          <w:b/>
          <w:sz w:val="18"/>
          <w:szCs w:val="18"/>
        </w:rPr>
        <w:t>z</w:t>
      </w:r>
      <w:r w:rsidR="00303169" w:rsidRPr="00FD1B1D">
        <w:rPr>
          <w:b/>
          <w:sz w:val="18"/>
          <w:szCs w:val="18"/>
        </w:rPr>
        <w:t xml:space="preserve"> </w:t>
      </w:r>
      <w:r w:rsidR="006E2974" w:rsidRPr="00FD1B1D">
        <w:rPr>
          <w:b/>
          <w:sz w:val="18"/>
          <w:szCs w:val="18"/>
        </w:rPr>
        <w:t xml:space="preserve">    </w:t>
      </w:r>
      <w:r w:rsidR="009877A4" w:rsidRPr="00FD1B1D">
        <w:rPr>
          <w:b/>
          <w:sz w:val="18"/>
          <w:szCs w:val="18"/>
        </w:rPr>
        <w:t xml:space="preserve"> </w:t>
      </w:r>
      <w:r w:rsidR="00F12887" w:rsidRPr="00FD1B1D">
        <w:rPr>
          <w:b/>
          <w:sz w:val="18"/>
          <w:szCs w:val="18"/>
        </w:rPr>
        <w:t xml:space="preserve">                 </w:t>
      </w:r>
      <w:r w:rsidR="006E2974" w:rsidRPr="00FD1B1D">
        <w:rPr>
          <w:b/>
          <w:sz w:val="18"/>
          <w:szCs w:val="18"/>
        </w:rPr>
        <w:t xml:space="preserve">   </w:t>
      </w:r>
      <w:r w:rsidR="00A94174">
        <w:rPr>
          <w:b/>
          <w:sz w:val="18"/>
          <w:szCs w:val="18"/>
        </w:rPr>
        <w:t xml:space="preserve">       </w:t>
      </w:r>
      <w:r w:rsidR="006E2974" w:rsidRPr="00FD1B1D">
        <w:rPr>
          <w:b/>
          <w:sz w:val="18"/>
          <w:szCs w:val="18"/>
        </w:rPr>
        <w:t xml:space="preserve">    </w:t>
      </w:r>
      <w:r w:rsidR="00F12887" w:rsidRPr="00FD1B1D">
        <w:rPr>
          <w:b/>
          <w:sz w:val="18"/>
          <w:szCs w:val="18"/>
        </w:rPr>
        <w:t xml:space="preserve"> </w:t>
      </w:r>
      <w:r w:rsidR="00C05D01">
        <w:rPr>
          <w:b/>
          <w:sz w:val="18"/>
          <w:szCs w:val="18"/>
        </w:rPr>
        <w:t>Lic</w:t>
      </w:r>
      <w:r w:rsidR="00D51023" w:rsidRPr="00FD1B1D">
        <w:rPr>
          <w:b/>
          <w:sz w:val="18"/>
          <w:szCs w:val="18"/>
        </w:rPr>
        <w:t xml:space="preserve">. </w:t>
      </w:r>
      <w:r w:rsidR="00C05D01">
        <w:rPr>
          <w:b/>
          <w:sz w:val="18"/>
          <w:szCs w:val="18"/>
        </w:rPr>
        <w:t>Víctor Manuel Alvarado Jiménez</w:t>
      </w:r>
    </w:p>
    <w:p w:rsidR="00D51023" w:rsidRPr="00FD1B1D" w:rsidRDefault="00F12887" w:rsidP="009877A4">
      <w:pPr>
        <w:pStyle w:val="Default"/>
        <w:jc w:val="both"/>
        <w:rPr>
          <w:b/>
          <w:sz w:val="18"/>
          <w:szCs w:val="18"/>
        </w:rPr>
      </w:pPr>
      <w:r w:rsidRPr="00FD1B1D">
        <w:rPr>
          <w:b/>
          <w:sz w:val="18"/>
          <w:szCs w:val="18"/>
        </w:rPr>
        <w:t xml:space="preserve"> </w:t>
      </w:r>
      <w:r w:rsidR="00A94174">
        <w:rPr>
          <w:b/>
          <w:sz w:val="18"/>
          <w:szCs w:val="18"/>
        </w:rPr>
        <w:t>Director General de Servicios Administrativos</w:t>
      </w:r>
      <w:r w:rsidRPr="00FD1B1D">
        <w:rPr>
          <w:b/>
          <w:sz w:val="18"/>
          <w:szCs w:val="18"/>
        </w:rPr>
        <w:t xml:space="preserve">           </w:t>
      </w:r>
      <w:r w:rsidR="00A94174">
        <w:rPr>
          <w:b/>
          <w:sz w:val="18"/>
          <w:szCs w:val="18"/>
        </w:rPr>
        <w:t xml:space="preserve">    </w:t>
      </w:r>
      <w:r w:rsidR="00A57188">
        <w:rPr>
          <w:b/>
          <w:sz w:val="18"/>
          <w:szCs w:val="18"/>
        </w:rPr>
        <w:t xml:space="preserve">    Director de Educación Media Superior y Superior</w:t>
      </w:r>
    </w:p>
    <w:p w:rsidR="00D51023" w:rsidRPr="00FD1B1D" w:rsidRDefault="00F12887" w:rsidP="009877A4">
      <w:pPr>
        <w:pStyle w:val="Default"/>
        <w:jc w:val="both"/>
        <w:rPr>
          <w:sz w:val="18"/>
          <w:szCs w:val="18"/>
        </w:rPr>
      </w:pPr>
      <w:r w:rsidRPr="00FD1B1D">
        <w:rPr>
          <w:b/>
          <w:sz w:val="18"/>
          <w:szCs w:val="18"/>
        </w:rPr>
        <w:t xml:space="preserve">                                                                                              </w:t>
      </w:r>
      <w:r w:rsidR="006E2974" w:rsidRPr="00FD1B1D">
        <w:rPr>
          <w:b/>
          <w:sz w:val="18"/>
          <w:szCs w:val="18"/>
        </w:rPr>
        <w:t xml:space="preserve">      </w:t>
      </w:r>
      <w:r w:rsidRPr="00FD1B1D">
        <w:rPr>
          <w:b/>
          <w:sz w:val="18"/>
          <w:szCs w:val="18"/>
        </w:rPr>
        <w:t xml:space="preserve">     </w:t>
      </w:r>
      <w:r w:rsidR="006E2974" w:rsidRPr="00FD1B1D">
        <w:rPr>
          <w:b/>
          <w:sz w:val="18"/>
          <w:szCs w:val="18"/>
        </w:rPr>
        <w:t xml:space="preserve">         </w:t>
      </w:r>
      <w:r w:rsidRPr="00FD1B1D">
        <w:rPr>
          <w:b/>
          <w:sz w:val="18"/>
          <w:szCs w:val="18"/>
        </w:rPr>
        <w:t xml:space="preserve">      </w:t>
      </w:r>
      <w:r w:rsidR="009877A4" w:rsidRPr="00FD1B1D">
        <w:rPr>
          <w:b/>
          <w:sz w:val="18"/>
          <w:szCs w:val="18"/>
        </w:rPr>
        <w:t xml:space="preserve"> </w:t>
      </w:r>
    </w:p>
    <w:p w:rsidR="00FB0A2A" w:rsidRPr="00FD1B1D" w:rsidRDefault="00FB0A2A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CC2262" w:rsidRPr="00FD1B1D" w:rsidRDefault="00CC2262" w:rsidP="009877A4">
      <w:pPr>
        <w:spacing w:after="0" w:line="240" w:lineRule="auto"/>
        <w:jc w:val="both"/>
        <w:rPr>
          <w:rFonts w:ascii="Arial" w:hAnsi="Arial" w:cs="Arial"/>
          <w:b/>
          <w:sz w:val="18"/>
          <w:szCs w:val="18"/>
          <w:lang w:val="es-ES"/>
        </w:rPr>
      </w:pPr>
    </w:p>
    <w:p w:rsidR="00B717D2" w:rsidRPr="00FD1B1D" w:rsidRDefault="00B717D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B717D2" w:rsidRPr="00FD1B1D" w:rsidRDefault="00B717D2" w:rsidP="009877A4">
      <w:pPr>
        <w:spacing w:after="0" w:line="240" w:lineRule="auto"/>
        <w:jc w:val="both"/>
        <w:rPr>
          <w:rFonts w:ascii="Arial" w:hAnsi="Arial" w:cs="Arial"/>
          <w:sz w:val="18"/>
          <w:szCs w:val="18"/>
          <w:lang w:val="es-ES"/>
        </w:rPr>
      </w:pPr>
    </w:p>
    <w:p w:rsidR="00105042" w:rsidRPr="00FD1B1D" w:rsidRDefault="00105042" w:rsidP="009877A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</w:p>
    <w:p w:rsidR="007C0F78" w:rsidRPr="00FD1B1D" w:rsidRDefault="007C0F78" w:rsidP="009877A4">
      <w:pPr>
        <w:spacing w:after="101" w:line="240" w:lineRule="auto"/>
        <w:ind w:firstLine="288"/>
        <w:jc w:val="both"/>
        <w:rPr>
          <w:rFonts w:ascii="Arial" w:hAnsi="Arial" w:cs="Arial"/>
          <w:sz w:val="18"/>
          <w:szCs w:val="18"/>
          <w:lang w:val="es-ES"/>
        </w:rPr>
      </w:pPr>
    </w:p>
    <w:sectPr w:rsidR="007C0F78" w:rsidRPr="00FD1B1D" w:rsidSect="00FD1B1D">
      <w:pgSz w:w="12240" w:h="15840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560E34"/>
    <w:multiLevelType w:val="hybridMultilevel"/>
    <w:tmpl w:val="81F8AA7A"/>
    <w:lvl w:ilvl="0" w:tplc="DC36ADF0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35F5C"/>
    <w:multiLevelType w:val="hybridMultilevel"/>
    <w:tmpl w:val="FDCC48A2"/>
    <w:lvl w:ilvl="0" w:tplc="14AAFF20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CED33E8"/>
    <w:multiLevelType w:val="hybridMultilevel"/>
    <w:tmpl w:val="C348590A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3E4C02"/>
    <w:multiLevelType w:val="hybridMultilevel"/>
    <w:tmpl w:val="B7F6D59E"/>
    <w:lvl w:ilvl="0" w:tplc="3F9EDC02">
      <w:start w:val="1"/>
      <w:numFmt w:val="lowerLetter"/>
      <w:lvlText w:val="%1)"/>
      <w:lvlJc w:val="left"/>
      <w:pPr>
        <w:ind w:left="465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185" w:hanging="360"/>
      </w:pPr>
    </w:lvl>
    <w:lvl w:ilvl="2" w:tplc="080A001B" w:tentative="1">
      <w:start w:val="1"/>
      <w:numFmt w:val="lowerRoman"/>
      <w:lvlText w:val="%3."/>
      <w:lvlJc w:val="right"/>
      <w:pPr>
        <w:ind w:left="1905" w:hanging="180"/>
      </w:pPr>
    </w:lvl>
    <w:lvl w:ilvl="3" w:tplc="080A000F" w:tentative="1">
      <w:start w:val="1"/>
      <w:numFmt w:val="decimal"/>
      <w:lvlText w:val="%4."/>
      <w:lvlJc w:val="left"/>
      <w:pPr>
        <w:ind w:left="2625" w:hanging="360"/>
      </w:pPr>
    </w:lvl>
    <w:lvl w:ilvl="4" w:tplc="080A0019" w:tentative="1">
      <w:start w:val="1"/>
      <w:numFmt w:val="lowerLetter"/>
      <w:lvlText w:val="%5."/>
      <w:lvlJc w:val="left"/>
      <w:pPr>
        <w:ind w:left="3345" w:hanging="360"/>
      </w:pPr>
    </w:lvl>
    <w:lvl w:ilvl="5" w:tplc="080A001B" w:tentative="1">
      <w:start w:val="1"/>
      <w:numFmt w:val="lowerRoman"/>
      <w:lvlText w:val="%6."/>
      <w:lvlJc w:val="right"/>
      <w:pPr>
        <w:ind w:left="4065" w:hanging="180"/>
      </w:pPr>
    </w:lvl>
    <w:lvl w:ilvl="6" w:tplc="080A000F" w:tentative="1">
      <w:start w:val="1"/>
      <w:numFmt w:val="decimal"/>
      <w:lvlText w:val="%7."/>
      <w:lvlJc w:val="left"/>
      <w:pPr>
        <w:ind w:left="4785" w:hanging="360"/>
      </w:pPr>
    </w:lvl>
    <w:lvl w:ilvl="7" w:tplc="080A0019" w:tentative="1">
      <w:start w:val="1"/>
      <w:numFmt w:val="lowerLetter"/>
      <w:lvlText w:val="%8."/>
      <w:lvlJc w:val="left"/>
      <w:pPr>
        <w:ind w:left="5505" w:hanging="360"/>
      </w:pPr>
    </w:lvl>
    <w:lvl w:ilvl="8" w:tplc="080A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4">
    <w:nsid w:val="4461778A"/>
    <w:multiLevelType w:val="hybridMultilevel"/>
    <w:tmpl w:val="B80AD814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661894"/>
    <w:multiLevelType w:val="hybridMultilevel"/>
    <w:tmpl w:val="320EC408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F0941A5"/>
    <w:multiLevelType w:val="hybridMultilevel"/>
    <w:tmpl w:val="6890F76A"/>
    <w:lvl w:ilvl="0" w:tplc="7EF290A4">
      <w:start w:val="1"/>
      <w:numFmt w:val="lowerLetter"/>
      <w:lvlText w:val="%1)"/>
      <w:lvlJc w:val="left"/>
      <w:pPr>
        <w:ind w:left="54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260" w:hanging="360"/>
      </w:pPr>
    </w:lvl>
    <w:lvl w:ilvl="2" w:tplc="080A001B" w:tentative="1">
      <w:start w:val="1"/>
      <w:numFmt w:val="lowerRoman"/>
      <w:lvlText w:val="%3."/>
      <w:lvlJc w:val="right"/>
      <w:pPr>
        <w:ind w:left="1980" w:hanging="180"/>
      </w:pPr>
    </w:lvl>
    <w:lvl w:ilvl="3" w:tplc="080A000F" w:tentative="1">
      <w:start w:val="1"/>
      <w:numFmt w:val="decimal"/>
      <w:lvlText w:val="%4."/>
      <w:lvlJc w:val="left"/>
      <w:pPr>
        <w:ind w:left="2700" w:hanging="360"/>
      </w:pPr>
    </w:lvl>
    <w:lvl w:ilvl="4" w:tplc="080A0019" w:tentative="1">
      <w:start w:val="1"/>
      <w:numFmt w:val="lowerLetter"/>
      <w:lvlText w:val="%5."/>
      <w:lvlJc w:val="left"/>
      <w:pPr>
        <w:ind w:left="3420" w:hanging="360"/>
      </w:pPr>
    </w:lvl>
    <w:lvl w:ilvl="5" w:tplc="080A001B" w:tentative="1">
      <w:start w:val="1"/>
      <w:numFmt w:val="lowerRoman"/>
      <w:lvlText w:val="%6."/>
      <w:lvlJc w:val="right"/>
      <w:pPr>
        <w:ind w:left="4140" w:hanging="180"/>
      </w:pPr>
    </w:lvl>
    <w:lvl w:ilvl="6" w:tplc="080A000F" w:tentative="1">
      <w:start w:val="1"/>
      <w:numFmt w:val="decimal"/>
      <w:lvlText w:val="%7."/>
      <w:lvlJc w:val="left"/>
      <w:pPr>
        <w:ind w:left="4860" w:hanging="360"/>
      </w:pPr>
    </w:lvl>
    <w:lvl w:ilvl="7" w:tplc="080A0019" w:tentative="1">
      <w:start w:val="1"/>
      <w:numFmt w:val="lowerLetter"/>
      <w:lvlText w:val="%8."/>
      <w:lvlJc w:val="left"/>
      <w:pPr>
        <w:ind w:left="5580" w:hanging="360"/>
      </w:pPr>
    </w:lvl>
    <w:lvl w:ilvl="8" w:tplc="080A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7">
    <w:nsid w:val="5D263737"/>
    <w:multiLevelType w:val="hybridMultilevel"/>
    <w:tmpl w:val="CB9839C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BD2803"/>
    <w:multiLevelType w:val="hybridMultilevel"/>
    <w:tmpl w:val="230A7FF4"/>
    <w:lvl w:ilvl="0" w:tplc="61A2EE50">
      <w:start w:val="1"/>
      <w:numFmt w:val="lowerLetter"/>
      <w:lvlText w:val="%1)"/>
      <w:lvlJc w:val="left"/>
      <w:pPr>
        <w:ind w:left="45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70" w:hanging="360"/>
      </w:pPr>
    </w:lvl>
    <w:lvl w:ilvl="2" w:tplc="080A001B" w:tentative="1">
      <w:start w:val="1"/>
      <w:numFmt w:val="lowerRoman"/>
      <w:lvlText w:val="%3."/>
      <w:lvlJc w:val="right"/>
      <w:pPr>
        <w:ind w:left="1890" w:hanging="180"/>
      </w:pPr>
    </w:lvl>
    <w:lvl w:ilvl="3" w:tplc="080A000F" w:tentative="1">
      <w:start w:val="1"/>
      <w:numFmt w:val="decimal"/>
      <w:lvlText w:val="%4."/>
      <w:lvlJc w:val="left"/>
      <w:pPr>
        <w:ind w:left="2610" w:hanging="360"/>
      </w:pPr>
    </w:lvl>
    <w:lvl w:ilvl="4" w:tplc="080A0019" w:tentative="1">
      <w:start w:val="1"/>
      <w:numFmt w:val="lowerLetter"/>
      <w:lvlText w:val="%5."/>
      <w:lvlJc w:val="left"/>
      <w:pPr>
        <w:ind w:left="3330" w:hanging="360"/>
      </w:pPr>
    </w:lvl>
    <w:lvl w:ilvl="5" w:tplc="080A001B" w:tentative="1">
      <w:start w:val="1"/>
      <w:numFmt w:val="lowerRoman"/>
      <w:lvlText w:val="%6."/>
      <w:lvlJc w:val="right"/>
      <w:pPr>
        <w:ind w:left="4050" w:hanging="180"/>
      </w:pPr>
    </w:lvl>
    <w:lvl w:ilvl="6" w:tplc="080A000F" w:tentative="1">
      <w:start w:val="1"/>
      <w:numFmt w:val="decimal"/>
      <w:lvlText w:val="%7."/>
      <w:lvlJc w:val="left"/>
      <w:pPr>
        <w:ind w:left="4770" w:hanging="360"/>
      </w:pPr>
    </w:lvl>
    <w:lvl w:ilvl="7" w:tplc="080A0019" w:tentative="1">
      <w:start w:val="1"/>
      <w:numFmt w:val="lowerLetter"/>
      <w:lvlText w:val="%8."/>
      <w:lvlJc w:val="left"/>
      <w:pPr>
        <w:ind w:left="5490" w:hanging="360"/>
      </w:pPr>
    </w:lvl>
    <w:lvl w:ilvl="8" w:tplc="080A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9">
    <w:nsid w:val="6D797C15"/>
    <w:multiLevelType w:val="hybridMultilevel"/>
    <w:tmpl w:val="5DC2449C"/>
    <w:lvl w:ilvl="0" w:tplc="F776F36E">
      <w:start w:val="1"/>
      <w:numFmt w:val="lowerLetter"/>
      <w:lvlText w:val="%1)"/>
      <w:lvlJc w:val="left"/>
      <w:pPr>
        <w:ind w:left="405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125" w:hanging="360"/>
      </w:pPr>
    </w:lvl>
    <w:lvl w:ilvl="2" w:tplc="080A001B" w:tentative="1">
      <w:start w:val="1"/>
      <w:numFmt w:val="lowerRoman"/>
      <w:lvlText w:val="%3."/>
      <w:lvlJc w:val="right"/>
      <w:pPr>
        <w:ind w:left="1845" w:hanging="180"/>
      </w:pPr>
    </w:lvl>
    <w:lvl w:ilvl="3" w:tplc="080A000F" w:tentative="1">
      <w:start w:val="1"/>
      <w:numFmt w:val="decimal"/>
      <w:lvlText w:val="%4."/>
      <w:lvlJc w:val="left"/>
      <w:pPr>
        <w:ind w:left="2565" w:hanging="360"/>
      </w:pPr>
    </w:lvl>
    <w:lvl w:ilvl="4" w:tplc="080A0019" w:tentative="1">
      <w:start w:val="1"/>
      <w:numFmt w:val="lowerLetter"/>
      <w:lvlText w:val="%5."/>
      <w:lvlJc w:val="left"/>
      <w:pPr>
        <w:ind w:left="3285" w:hanging="360"/>
      </w:pPr>
    </w:lvl>
    <w:lvl w:ilvl="5" w:tplc="080A001B" w:tentative="1">
      <w:start w:val="1"/>
      <w:numFmt w:val="lowerRoman"/>
      <w:lvlText w:val="%6."/>
      <w:lvlJc w:val="right"/>
      <w:pPr>
        <w:ind w:left="4005" w:hanging="180"/>
      </w:pPr>
    </w:lvl>
    <w:lvl w:ilvl="6" w:tplc="080A000F" w:tentative="1">
      <w:start w:val="1"/>
      <w:numFmt w:val="decimal"/>
      <w:lvlText w:val="%7."/>
      <w:lvlJc w:val="left"/>
      <w:pPr>
        <w:ind w:left="4725" w:hanging="360"/>
      </w:pPr>
    </w:lvl>
    <w:lvl w:ilvl="7" w:tplc="080A0019" w:tentative="1">
      <w:start w:val="1"/>
      <w:numFmt w:val="lowerLetter"/>
      <w:lvlText w:val="%8."/>
      <w:lvlJc w:val="left"/>
      <w:pPr>
        <w:ind w:left="5445" w:hanging="360"/>
      </w:pPr>
    </w:lvl>
    <w:lvl w:ilvl="8" w:tplc="080A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0">
    <w:nsid w:val="71C01137"/>
    <w:multiLevelType w:val="hybridMultilevel"/>
    <w:tmpl w:val="55C84F74"/>
    <w:lvl w:ilvl="0" w:tplc="BFD287E8">
      <w:start w:val="1"/>
      <w:numFmt w:val="upperRoman"/>
      <w:lvlText w:val="%1)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170F0F"/>
    <w:multiLevelType w:val="hybridMultilevel"/>
    <w:tmpl w:val="6B68E610"/>
    <w:lvl w:ilvl="0" w:tplc="66006D58">
      <w:start w:val="1"/>
      <w:numFmt w:val="upperLetter"/>
      <w:lvlText w:val="%1)"/>
      <w:lvlJc w:val="left"/>
      <w:pPr>
        <w:ind w:left="720" w:hanging="360"/>
      </w:pPr>
      <w:rPr>
        <w:rFonts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"/>
  </w:num>
  <w:num w:numId="3">
    <w:abstractNumId w:val="7"/>
  </w:num>
  <w:num w:numId="4">
    <w:abstractNumId w:val="2"/>
  </w:num>
  <w:num w:numId="5">
    <w:abstractNumId w:val="11"/>
  </w:num>
  <w:num w:numId="6">
    <w:abstractNumId w:val="3"/>
  </w:num>
  <w:num w:numId="7">
    <w:abstractNumId w:val="8"/>
  </w:num>
  <w:num w:numId="8">
    <w:abstractNumId w:val="4"/>
  </w:num>
  <w:num w:numId="9">
    <w:abstractNumId w:val="5"/>
  </w:num>
  <w:num w:numId="10">
    <w:abstractNumId w:val="6"/>
  </w:num>
  <w:num w:numId="11">
    <w:abstractNumId w:val="9"/>
  </w:num>
  <w:num w:numId="1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/>
  <w:rsids>
    <w:rsidRoot w:val="006E0A3D"/>
    <w:rsid w:val="00003E7A"/>
    <w:rsid w:val="00004101"/>
    <w:rsid w:val="00006A65"/>
    <w:rsid w:val="0000777A"/>
    <w:rsid w:val="000153D1"/>
    <w:rsid w:val="00030CCE"/>
    <w:rsid w:val="0004690A"/>
    <w:rsid w:val="00047C1D"/>
    <w:rsid w:val="00047E5F"/>
    <w:rsid w:val="00057E98"/>
    <w:rsid w:val="00061D19"/>
    <w:rsid w:val="000656AE"/>
    <w:rsid w:val="00065E66"/>
    <w:rsid w:val="0007112F"/>
    <w:rsid w:val="00075E69"/>
    <w:rsid w:val="00081103"/>
    <w:rsid w:val="0008116C"/>
    <w:rsid w:val="00083C6B"/>
    <w:rsid w:val="00085359"/>
    <w:rsid w:val="000927F5"/>
    <w:rsid w:val="00092CFB"/>
    <w:rsid w:val="0009580B"/>
    <w:rsid w:val="0009582B"/>
    <w:rsid w:val="000A6E9B"/>
    <w:rsid w:val="000C2021"/>
    <w:rsid w:val="000C3F20"/>
    <w:rsid w:val="000C4067"/>
    <w:rsid w:val="000D0925"/>
    <w:rsid w:val="000D279B"/>
    <w:rsid w:val="000E6188"/>
    <w:rsid w:val="000F347B"/>
    <w:rsid w:val="00105042"/>
    <w:rsid w:val="0011461A"/>
    <w:rsid w:val="0011515C"/>
    <w:rsid w:val="001372FC"/>
    <w:rsid w:val="00152491"/>
    <w:rsid w:val="00154EEC"/>
    <w:rsid w:val="00160B10"/>
    <w:rsid w:val="00165DF5"/>
    <w:rsid w:val="00184B85"/>
    <w:rsid w:val="001904F5"/>
    <w:rsid w:val="001907E6"/>
    <w:rsid w:val="001927E8"/>
    <w:rsid w:val="001A4CA4"/>
    <w:rsid w:val="001A4F38"/>
    <w:rsid w:val="001A664C"/>
    <w:rsid w:val="001B0710"/>
    <w:rsid w:val="001B41FD"/>
    <w:rsid w:val="001C0318"/>
    <w:rsid w:val="001C1717"/>
    <w:rsid w:val="001D107E"/>
    <w:rsid w:val="001E2498"/>
    <w:rsid w:val="001F13F6"/>
    <w:rsid w:val="001F22AE"/>
    <w:rsid w:val="001F6490"/>
    <w:rsid w:val="00202249"/>
    <w:rsid w:val="00205284"/>
    <w:rsid w:val="0021158B"/>
    <w:rsid w:val="00224BF3"/>
    <w:rsid w:val="002338D7"/>
    <w:rsid w:val="0023746D"/>
    <w:rsid w:val="00237BE7"/>
    <w:rsid w:val="0024169C"/>
    <w:rsid w:val="00245D16"/>
    <w:rsid w:val="00245D80"/>
    <w:rsid w:val="0024794B"/>
    <w:rsid w:val="00282823"/>
    <w:rsid w:val="00286815"/>
    <w:rsid w:val="00291506"/>
    <w:rsid w:val="002A7614"/>
    <w:rsid w:val="002B4DE8"/>
    <w:rsid w:val="002C1911"/>
    <w:rsid w:val="002D0B69"/>
    <w:rsid w:val="002D22AC"/>
    <w:rsid w:val="002E55F6"/>
    <w:rsid w:val="002F5D46"/>
    <w:rsid w:val="00303169"/>
    <w:rsid w:val="0031327A"/>
    <w:rsid w:val="003266B2"/>
    <w:rsid w:val="00332C55"/>
    <w:rsid w:val="00334A69"/>
    <w:rsid w:val="00336495"/>
    <w:rsid w:val="00336B93"/>
    <w:rsid w:val="00340171"/>
    <w:rsid w:val="0034748D"/>
    <w:rsid w:val="003565B7"/>
    <w:rsid w:val="00357266"/>
    <w:rsid w:val="00364302"/>
    <w:rsid w:val="003646A8"/>
    <w:rsid w:val="00371389"/>
    <w:rsid w:val="00374271"/>
    <w:rsid w:val="003753B7"/>
    <w:rsid w:val="00376CB1"/>
    <w:rsid w:val="00380F44"/>
    <w:rsid w:val="00393F63"/>
    <w:rsid w:val="00394472"/>
    <w:rsid w:val="003A2F35"/>
    <w:rsid w:val="003A3DC6"/>
    <w:rsid w:val="003C27E9"/>
    <w:rsid w:val="003D0464"/>
    <w:rsid w:val="003D04D3"/>
    <w:rsid w:val="003E33D2"/>
    <w:rsid w:val="003F128D"/>
    <w:rsid w:val="003F3D8A"/>
    <w:rsid w:val="003F4EC1"/>
    <w:rsid w:val="0041701B"/>
    <w:rsid w:val="0042540B"/>
    <w:rsid w:val="004256D5"/>
    <w:rsid w:val="00434853"/>
    <w:rsid w:val="00434941"/>
    <w:rsid w:val="0044283D"/>
    <w:rsid w:val="004442FE"/>
    <w:rsid w:val="00454A6C"/>
    <w:rsid w:val="00454F09"/>
    <w:rsid w:val="00457123"/>
    <w:rsid w:val="00462675"/>
    <w:rsid w:val="00463412"/>
    <w:rsid w:val="0046453E"/>
    <w:rsid w:val="004678FE"/>
    <w:rsid w:val="004725DA"/>
    <w:rsid w:val="00472696"/>
    <w:rsid w:val="00473B55"/>
    <w:rsid w:val="0048270B"/>
    <w:rsid w:val="0048410C"/>
    <w:rsid w:val="00494485"/>
    <w:rsid w:val="00494C11"/>
    <w:rsid w:val="004978D6"/>
    <w:rsid w:val="004B23B0"/>
    <w:rsid w:val="004B2950"/>
    <w:rsid w:val="004C0952"/>
    <w:rsid w:val="004C587D"/>
    <w:rsid w:val="004C7D01"/>
    <w:rsid w:val="004E1B0C"/>
    <w:rsid w:val="004E5BF9"/>
    <w:rsid w:val="004F07EA"/>
    <w:rsid w:val="004F3193"/>
    <w:rsid w:val="004F55FB"/>
    <w:rsid w:val="00500785"/>
    <w:rsid w:val="00503A23"/>
    <w:rsid w:val="00504F58"/>
    <w:rsid w:val="00506659"/>
    <w:rsid w:val="0051446C"/>
    <w:rsid w:val="005317A1"/>
    <w:rsid w:val="0053380F"/>
    <w:rsid w:val="0054244D"/>
    <w:rsid w:val="00542BEE"/>
    <w:rsid w:val="005468EC"/>
    <w:rsid w:val="00550742"/>
    <w:rsid w:val="0055166F"/>
    <w:rsid w:val="0055561D"/>
    <w:rsid w:val="00562A29"/>
    <w:rsid w:val="005702B2"/>
    <w:rsid w:val="005740F4"/>
    <w:rsid w:val="005759E5"/>
    <w:rsid w:val="005901F0"/>
    <w:rsid w:val="0059697C"/>
    <w:rsid w:val="005A1E1D"/>
    <w:rsid w:val="005A320D"/>
    <w:rsid w:val="005B6069"/>
    <w:rsid w:val="005B7936"/>
    <w:rsid w:val="005C4580"/>
    <w:rsid w:val="005C7E14"/>
    <w:rsid w:val="005D0300"/>
    <w:rsid w:val="005D620A"/>
    <w:rsid w:val="005E4E14"/>
    <w:rsid w:val="005F1507"/>
    <w:rsid w:val="005F3272"/>
    <w:rsid w:val="00600D90"/>
    <w:rsid w:val="006050B9"/>
    <w:rsid w:val="006055C6"/>
    <w:rsid w:val="00606791"/>
    <w:rsid w:val="006074D0"/>
    <w:rsid w:val="0061757F"/>
    <w:rsid w:val="00630409"/>
    <w:rsid w:val="006402C2"/>
    <w:rsid w:val="00645096"/>
    <w:rsid w:val="00646F59"/>
    <w:rsid w:val="006472F3"/>
    <w:rsid w:val="00647B8D"/>
    <w:rsid w:val="00661225"/>
    <w:rsid w:val="0066613D"/>
    <w:rsid w:val="00671AAE"/>
    <w:rsid w:val="00677607"/>
    <w:rsid w:val="006807A8"/>
    <w:rsid w:val="00681A9B"/>
    <w:rsid w:val="00685BAB"/>
    <w:rsid w:val="00694E78"/>
    <w:rsid w:val="006A3873"/>
    <w:rsid w:val="006A65EE"/>
    <w:rsid w:val="006B1AE1"/>
    <w:rsid w:val="006B1FB5"/>
    <w:rsid w:val="006B2BDE"/>
    <w:rsid w:val="006C1BBD"/>
    <w:rsid w:val="006C4C0D"/>
    <w:rsid w:val="006C7C66"/>
    <w:rsid w:val="006D5EF5"/>
    <w:rsid w:val="006E0A3D"/>
    <w:rsid w:val="006E2974"/>
    <w:rsid w:val="006F13E7"/>
    <w:rsid w:val="006F2246"/>
    <w:rsid w:val="006F3461"/>
    <w:rsid w:val="006F6CE2"/>
    <w:rsid w:val="0070311D"/>
    <w:rsid w:val="007110CD"/>
    <w:rsid w:val="00711EFC"/>
    <w:rsid w:val="00714DA1"/>
    <w:rsid w:val="00717E6F"/>
    <w:rsid w:val="00720FA2"/>
    <w:rsid w:val="00724139"/>
    <w:rsid w:val="007304D0"/>
    <w:rsid w:val="00733ED1"/>
    <w:rsid w:val="00734B65"/>
    <w:rsid w:val="0073675E"/>
    <w:rsid w:val="00740422"/>
    <w:rsid w:val="00742F2E"/>
    <w:rsid w:val="00747F2E"/>
    <w:rsid w:val="007626BF"/>
    <w:rsid w:val="00766099"/>
    <w:rsid w:val="0077379A"/>
    <w:rsid w:val="00775DCA"/>
    <w:rsid w:val="0078418B"/>
    <w:rsid w:val="00792592"/>
    <w:rsid w:val="007A0832"/>
    <w:rsid w:val="007A52CD"/>
    <w:rsid w:val="007B1053"/>
    <w:rsid w:val="007B1DD7"/>
    <w:rsid w:val="007C0F78"/>
    <w:rsid w:val="007C4990"/>
    <w:rsid w:val="007C5C30"/>
    <w:rsid w:val="007C7758"/>
    <w:rsid w:val="007D35D1"/>
    <w:rsid w:val="007D701D"/>
    <w:rsid w:val="007D7ABC"/>
    <w:rsid w:val="007E1D2A"/>
    <w:rsid w:val="007E64E5"/>
    <w:rsid w:val="007F006D"/>
    <w:rsid w:val="007F6F76"/>
    <w:rsid w:val="0080220F"/>
    <w:rsid w:val="00816424"/>
    <w:rsid w:val="00832BDF"/>
    <w:rsid w:val="00843371"/>
    <w:rsid w:val="00857F6D"/>
    <w:rsid w:val="00860FC4"/>
    <w:rsid w:val="00863122"/>
    <w:rsid w:val="0087260A"/>
    <w:rsid w:val="00875173"/>
    <w:rsid w:val="00883973"/>
    <w:rsid w:val="00885F29"/>
    <w:rsid w:val="00886873"/>
    <w:rsid w:val="00894BD7"/>
    <w:rsid w:val="008A048D"/>
    <w:rsid w:val="008A3D00"/>
    <w:rsid w:val="008A4B1B"/>
    <w:rsid w:val="008B1A00"/>
    <w:rsid w:val="008B572B"/>
    <w:rsid w:val="008C074C"/>
    <w:rsid w:val="008C1A2D"/>
    <w:rsid w:val="008C205D"/>
    <w:rsid w:val="008C7D10"/>
    <w:rsid w:val="008C7D4E"/>
    <w:rsid w:val="008D277D"/>
    <w:rsid w:val="008E08B4"/>
    <w:rsid w:val="008E1E12"/>
    <w:rsid w:val="008E1ED4"/>
    <w:rsid w:val="008F158C"/>
    <w:rsid w:val="00905A5C"/>
    <w:rsid w:val="00914DC1"/>
    <w:rsid w:val="00926AEA"/>
    <w:rsid w:val="009427D1"/>
    <w:rsid w:val="009523CE"/>
    <w:rsid w:val="009626CF"/>
    <w:rsid w:val="00965BA6"/>
    <w:rsid w:val="00980960"/>
    <w:rsid w:val="00981133"/>
    <w:rsid w:val="009854E5"/>
    <w:rsid w:val="009877A4"/>
    <w:rsid w:val="00993CE5"/>
    <w:rsid w:val="00994EF5"/>
    <w:rsid w:val="00995EAB"/>
    <w:rsid w:val="00997F08"/>
    <w:rsid w:val="009C3BDE"/>
    <w:rsid w:val="009D40E4"/>
    <w:rsid w:val="009D430F"/>
    <w:rsid w:val="00A0037B"/>
    <w:rsid w:val="00A04D25"/>
    <w:rsid w:val="00A10AD3"/>
    <w:rsid w:val="00A12195"/>
    <w:rsid w:val="00A121CE"/>
    <w:rsid w:val="00A13AEC"/>
    <w:rsid w:val="00A15AA1"/>
    <w:rsid w:val="00A15DB6"/>
    <w:rsid w:val="00A30D3D"/>
    <w:rsid w:val="00A31602"/>
    <w:rsid w:val="00A42F2F"/>
    <w:rsid w:val="00A51D47"/>
    <w:rsid w:val="00A57188"/>
    <w:rsid w:val="00A635F9"/>
    <w:rsid w:val="00A72266"/>
    <w:rsid w:val="00A80C87"/>
    <w:rsid w:val="00A81B06"/>
    <w:rsid w:val="00A82F18"/>
    <w:rsid w:val="00A91217"/>
    <w:rsid w:val="00A94174"/>
    <w:rsid w:val="00A95C05"/>
    <w:rsid w:val="00AA03F6"/>
    <w:rsid w:val="00AA0E98"/>
    <w:rsid w:val="00AA133B"/>
    <w:rsid w:val="00AB399C"/>
    <w:rsid w:val="00AB61F9"/>
    <w:rsid w:val="00AC234C"/>
    <w:rsid w:val="00AD367A"/>
    <w:rsid w:val="00AD6FFB"/>
    <w:rsid w:val="00AE0991"/>
    <w:rsid w:val="00AE2957"/>
    <w:rsid w:val="00AE3EC1"/>
    <w:rsid w:val="00AE5D98"/>
    <w:rsid w:val="00AE5E60"/>
    <w:rsid w:val="00AF2269"/>
    <w:rsid w:val="00AF261B"/>
    <w:rsid w:val="00AF64EA"/>
    <w:rsid w:val="00AF6C7D"/>
    <w:rsid w:val="00B00907"/>
    <w:rsid w:val="00B01F55"/>
    <w:rsid w:val="00B1579D"/>
    <w:rsid w:val="00B17C50"/>
    <w:rsid w:val="00B32738"/>
    <w:rsid w:val="00B32B04"/>
    <w:rsid w:val="00B34A96"/>
    <w:rsid w:val="00B353C7"/>
    <w:rsid w:val="00B4324F"/>
    <w:rsid w:val="00B435B1"/>
    <w:rsid w:val="00B47FFB"/>
    <w:rsid w:val="00B51EB5"/>
    <w:rsid w:val="00B717D2"/>
    <w:rsid w:val="00B72939"/>
    <w:rsid w:val="00B72EF7"/>
    <w:rsid w:val="00B77317"/>
    <w:rsid w:val="00B777FE"/>
    <w:rsid w:val="00B839AA"/>
    <w:rsid w:val="00BA78A9"/>
    <w:rsid w:val="00BB51F9"/>
    <w:rsid w:val="00BB77A8"/>
    <w:rsid w:val="00BC0CD7"/>
    <w:rsid w:val="00BC184D"/>
    <w:rsid w:val="00BC2E6D"/>
    <w:rsid w:val="00BC61C7"/>
    <w:rsid w:val="00BD584D"/>
    <w:rsid w:val="00BD5D19"/>
    <w:rsid w:val="00BE18E6"/>
    <w:rsid w:val="00BE1EE4"/>
    <w:rsid w:val="00BE2D45"/>
    <w:rsid w:val="00BE2ED4"/>
    <w:rsid w:val="00BE6C59"/>
    <w:rsid w:val="00BF4A79"/>
    <w:rsid w:val="00C0481E"/>
    <w:rsid w:val="00C05D01"/>
    <w:rsid w:val="00C06E37"/>
    <w:rsid w:val="00C43DEE"/>
    <w:rsid w:val="00C5119F"/>
    <w:rsid w:val="00C80449"/>
    <w:rsid w:val="00C80D9E"/>
    <w:rsid w:val="00C83BB5"/>
    <w:rsid w:val="00C8732F"/>
    <w:rsid w:val="00C918C1"/>
    <w:rsid w:val="00CA455B"/>
    <w:rsid w:val="00CB20BB"/>
    <w:rsid w:val="00CB6685"/>
    <w:rsid w:val="00CB745D"/>
    <w:rsid w:val="00CB7B65"/>
    <w:rsid w:val="00CB7CDE"/>
    <w:rsid w:val="00CC2262"/>
    <w:rsid w:val="00CC6228"/>
    <w:rsid w:val="00CE4EF9"/>
    <w:rsid w:val="00CF06D9"/>
    <w:rsid w:val="00CF2B03"/>
    <w:rsid w:val="00CF4D63"/>
    <w:rsid w:val="00D025FC"/>
    <w:rsid w:val="00D036E4"/>
    <w:rsid w:val="00D112A7"/>
    <w:rsid w:val="00D1598A"/>
    <w:rsid w:val="00D20792"/>
    <w:rsid w:val="00D23172"/>
    <w:rsid w:val="00D275CE"/>
    <w:rsid w:val="00D41727"/>
    <w:rsid w:val="00D423BD"/>
    <w:rsid w:val="00D447C3"/>
    <w:rsid w:val="00D51023"/>
    <w:rsid w:val="00D53D1F"/>
    <w:rsid w:val="00D601AD"/>
    <w:rsid w:val="00D84AED"/>
    <w:rsid w:val="00D85E19"/>
    <w:rsid w:val="00D93BB1"/>
    <w:rsid w:val="00D951D8"/>
    <w:rsid w:val="00D95F32"/>
    <w:rsid w:val="00D9649C"/>
    <w:rsid w:val="00D97424"/>
    <w:rsid w:val="00DA5D5C"/>
    <w:rsid w:val="00DB420A"/>
    <w:rsid w:val="00DB7536"/>
    <w:rsid w:val="00DC3548"/>
    <w:rsid w:val="00DC3DB2"/>
    <w:rsid w:val="00DC62AB"/>
    <w:rsid w:val="00DD10D5"/>
    <w:rsid w:val="00DD14E6"/>
    <w:rsid w:val="00DE480E"/>
    <w:rsid w:val="00E00B9F"/>
    <w:rsid w:val="00E069A6"/>
    <w:rsid w:val="00E14CF3"/>
    <w:rsid w:val="00E2082F"/>
    <w:rsid w:val="00E23F39"/>
    <w:rsid w:val="00E2490C"/>
    <w:rsid w:val="00E36E05"/>
    <w:rsid w:val="00E43ADF"/>
    <w:rsid w:val="00E60D35"/>
    <w:rsid w:val="00E65524"/>
    <w:rsid w:val="00E727A4"/>
    <w:rsid w:val="00E73693"/>
    <w:rsid w:val="00E7588B"/>
    <w:rsid w:val="00E776F1"/>
    <w:rsid w:val="00EA06FA"/>
    <w:rsid w:val="00EA28EA"/>
    <w:rsid w:val="00EB2248"/>
    <w:rsid w:val="00EC30D7"/>
    <w:rsid w:val="00EC54A8"/>
    <w:rsid w:val="00ED2D91"/>
    <w:rsid w:val="00ED5B5F"/>
    <w:rsid w:val="00ED66F4"/>
    <w:rsid w:val="00EE1860"/>
    <w:rsid w:val="00EF0B2C"/>
    <w:rsid w:val="00EF3E8E"/>
    <w:rsid w:val="00EF4231"/>
    <w:rsid w:val="00EF5BF2"/>
    <w:rsid w:val="00F01E5E"/>
    <w:rsid w:val="00F11A31"/>
    <w:rsid w:val="00F124B4"/>
    <w:rsid w:val="00F12887"/>
    <w:rsid w:val="00F14048"/>
    <w:rsid w:val="00F250C4"/>
    <w:rsid w:val="00F27AC1"/>
    <w:rsid w:val="00F31347"/>
    <w:rsid w:val="00F44C17"/>
    <w:rsid w:val="00F55CED"/>
    <w:rsid w:val="00F63E05"/>
    <w:rsid w:val="00F84533"/>
    <w:rsid w:val="00FB0A2A"/>
    <w:rsid w:val="00FB7153"/>
    <w:rsid w:val="00FD1B1D"/>
    <w:rsid w:val="00FD330E"/>
    <w:rsid w:val="00FD3EAE"/>
    <w:rsid w:val="00FD62A5"/>
    <w:rsid w:val="00FE5D76"/>
    <w:rsid w:val="00FE7495"/>
    <w:rsid w:val="00FF10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873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6E0A3D"/>
    <w:pPr>
      <w:ind w:left="720"/>
      <w:contextualSpacing/>
    </w:pPr>
  </w:style>
  <w:style w:type="table" w:styleId="Tablaconcuadrcula">
    <w:name w:val="Table Grid"/>
    <w:basedOn w:val="Tablanormal"/>
    <w:uiPriority w:val="59"/>
    <w:rsid w:val="00A003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5D620A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4571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5712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7330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547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172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20657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0521427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295141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604002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72408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223478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083644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159733">
                  <w:marLeft w:val="0"/>
                  <w:marRight w:val="0"/>
                  <w:marTop w:val="0"/>
                  <w:marBottom w:val="10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710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96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DD669-B515-4550-939A-4229952A7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2823</Words>
  <Characters>16094</Characters>
  <Application>Microsoft Office Word</Application>
  <DocSecurity>0</DocSecurity>
  <Lines>134</Lines>
  <Paragraphs>37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</dc:creator>
  <cp:keywords/>
  <dc:description/>
  <cp:lastModifiedBy>*</cp:lastModifiedBy>
  <cp:revision>8</cp:revision>
  <cp:lastPrinted>2020-02-24T17:52:00Z</cp:lastPrinted>
  <dcterms:created xsi:type="dcterms:W3CDTF">2020-02-20T17:10:00Z</dcterms:created>
  <dcterms:modified xsi:type="dcterms:W3CDTF">2020-02-27T19:41:00Z</dcterms:modified>
</cp:coreProperties>
</file>